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bookmarkStart w:id="640" w:name="_GoBack"/>
      <w:r/>
      <w:bookmarkEnd w:id="640"/>
      <w:r>
        <w:rPr>
          <w:rFonts w:hint="eastAsia" w:ascii="仿宋" w:hAnsi="仿宋" w:eastAsia="仿宋" w:cs="仿宋"/>
          <w:b/>
          <w:color w:val="auto"/>
          <w:sz w:val="36"/>
          <w:szCs w:val="36"/>
          <w:highlight w:val="none"/>
          <w:lang w:eastAsia="zh-CN"/>
        </w:rPr>
        <w:t xml:space="preserve">JSZC-320830-ZHDL-C2025-0009</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87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项目名称：盱眙县象山国家矿山公园地质灾害综合治理项目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人：盱眙县自然资源和规划局</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采购代理机构：江苏中辉工程咨询管理有限公司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2025</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11</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pageBreakBefore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0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盱眙县自然资源和规划局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江苏中辉工程咨询管理有限公司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Segoe UI" w:hAnsi="Segoe UI" w:cs="Segoe UI"/>
                <w:i w:val="0"/>
                <w:iCs w:val="0"/>
                <w:caps w:val="0"/>
                <w:color w:val="auto"/>
                <w:spacing w:val="0"/>
                <w:sz w:val="21"/>
                <w:szCs w:val="21"/>
                <w:highlight w:val="none"/>
                <w:shd w:val="clear" w:color="auto" w:fill="ffffff"/>
                <w:lang w:eastAsia="zh-CN"/>
              </w:rPr>
              <w:t xml:space="preserve">JSZC-320830-ZHDL-C2025-0009</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lang w:val="en-US" w:eastAsia="zh-CN"/>
              </w:rPr>
              <w:tab/>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10"/>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12</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本次项目招标代理费参照苏政采协〔2024〕20号关于印发《江苏省政府采购代理服务收费指导意见》的通知文件收取</w:t>
            </w:r>
            <w:r>
              <w:rPr>
                <w:rFonts w:hint="eastAsia" w:ascii="仿宋" w:hAnsi="仿宋" w:eastAsia="仿宋" w:cs="仿宋"/>
                <w:color w:val="auto"/>
                <w:sz w:val="24"/>
                <w:szCs w:val="24"/>
                <w:highlight w:val="none"/>
                <w:lang w:eastAsia="zh-CN"/>
              </w:rPr>
              <w:t xml:space="preserve">，由成交供应商在成交通知书发出向采购代理机构一次性付清。因此供应商在报价时须将代理服务费用等包含在响应报价中，但无需单独列项计取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盱眙县象山国家矿山公园地质灾害综合治理项目（项目编号：JSZC-320830-ZHDL-C2025-0009）采购项目的潜在供应商应在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：JSZC-320830-ZHDL-C2025-0009</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盱眙县象山国家矿山公园地质灾害综合治理项目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150日历天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9"/>
      <w:r/>
      <w:bookmarkEnd w:id="10"/>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//www.creditchina.gov.cn/）列入失信被执行人、重大税收违法案件当事人名单。供应商未被“中国政府采购网”（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具有自然资源部门或原国土资源部门颁发的地质灾害治理工程施工乙级及以上资质。</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2.项目负责人具有水文地质、工程地质、环境地质或岩土工程专业技术中级及以上职称（满足其中专业之一即可）</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9" w:name="OLE_LINK70"/>
      <w:r>
        <w:rPr>
          <w:rFonts w:hint="eastAsia" w:ascii="仿宋" w:hAnsi="仿宋" w:eastAsia="仿宋" w:cs="仿宋"/>
          <w:color w:val="auto"/>
          <w:sz w:val="24"/>
          <w:szCs w:val="24"/>
          <w:highlight w:val="none"/>
        </w:rPr>
        <w:t xml:space="preserve">江苏省政府采购网或者淮安市政府采购网</w:t>
      </w:r>
      <w:bookmarkEnd w:id="19"/>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0"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0"/>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1"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21"/>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 </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2"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692"/>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OLE_LINK79"/>
      <w:r/>
      <w:bookmarkStart w:id="24"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单位名称：盱眙县自然资源和规划局</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联系人：魏勉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联系电话：13852345423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单位名称：江苏中辉工程咨询管理有限公司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单位地址：盱眙国际商务大厦1023室（经济开发区迎春大道7-1）</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联系电话：15189687005</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2"/>
      <w:r/>
      <w:bookmarkEnd w:id="23"/>
      <w:r/>
      <w:bookmarkEnd w:id="24"/>
      <w:r>
        <w:rPr>
          <w:rFonts w:hint="eastAsia" w:ascii="仿宋" w:hAnsi="仿宋" w:eastAsia="仿宋" w:cs="仿宋"/>
          <w:color w:val="auto"/>
          <w:sz w:val="24"/>
          <w:szCs w:val="24"/>
          <w:highlight w:val="none"/>
          <w:lang w:val="en-US" w:eastAsia="zh-CN"/>
        </w:rPr>
        <w:t xml:space="preserve">15189687005</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pageBreakBefore w:val="0"/>
        <w:spacing w:line="3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3.1《中华人民共和国政府采购法》《中华人民共和国政府采购法实施条例》《政府采购竞争性磋商采购方式管理暂行办法》等有关法律</w:t>
      </w:r>
      <w:r>
        <w:rPr>
          <w:rFonts w:hint="eastAsia" w:ascii="仿宋" w:hAnsi="仿宋" w:eastAsia="仿宋" w:cs="仿宋"/>
          <w:color w:val="auto"/>
          <w:sz w:val="24"/>
          <w:szCs w:val="24"/>
          <w:highlight w:val="none"/>
          <w:lang w:eastAsia="zh-CN"/>
        </w:rPr>
        <w:t xml:space="preserve">、法规</w:t>
      </w:r>
      <w:r>
        <w:rPr>
          <w:rFonts w:hint="eastAsia" w:ascii="仿宋" w:hAnsi="仿宋" w:eastAsia="仿宋" w:cs="仿宋"/>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4.2采购代理（下称代理机构）：采购人委托</w:t>
      </w:r>
      <w:r>
        <w:rPr>
          <w:rFonts w:hint="eastAsia" w:ascii="仿宋" w:hAnsi="仿宋" w:eastAsia="仿宋" w:cs="仿宋"/>
          <w:color w:val="auto"/>
          <w:sz w:val="24"/>
          <w:szCs w:val="24"/>
          <w:highlight w:val="none"/>
          <w:lang w:eastAsia="zh-CN"/>
        </w:rPr>
        <w:t xml:space="preserve">江苏中辉工程咨询管理有限公司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8.3如标书制作工具中格式和内容与“淮安市政府采购网”、“淮安市公共资源交易网”发布的招标文件不一致，请以“淮安市政府采购网”、“淮安市公共资源交易网”发布的招标文件为准。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所有服务费</w:t>
      </w:r>
      <w:r>
        <w:rPr>
          <w:rFonts w:hint="eastAsia" w:ascii="仿宋" w:hAnsi="仿宋" w:eastAsia="仿宋" w:cs="仿宋"/>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www.creditchina.gov.cn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www.ccgp.gov.cn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20.10</w:t>
      </w:r>
      <w:r>
        <w:rPr>
          <w:rFonts w:hint="eastAsia" w:ascii="仿宋" w:hAnsi="仿宋" w:eastAsia="仿宋" w:cs="仿宋"/>
          <w:color w:val="auto"/>
          <w:sz w:val="24"/>
          <w:szCs w:val="24"/>
          <w:highlight w:val="none"/>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rPr>
        <w:t xml:space="preserve">2成交供应商在合同签订前必须</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履约保证金。采购人在确认履约保证金</w:t>
      </w:r>
      <w:r>
        <w:rPr>
          <w:rFonts w:hint="eastAsia" w:ascii="仿宋" w:hAnsi="仿宋" w:eastAsia="仿宋" w:cs="仿宋"/>
          <w:color w:val="auto"/>
          <w:sz w:val="24"/>
          <w:szCs w:val="24"/>
          <w:highlight w:val="none"/>
          <w:lang w:eastAsia="zh-CN"/>
        </w:rPr>
        <w:t xml:space="preserve">到账后</w:t>
      </w:r>
      <w:r>
        <w:rPr>
          <w:rFonts w:hint="eastAsia" w:ascii="仿宋" w:hAnsi="仿宋" w:eastAsia="仿宋" w:cs="仿宋"/>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27.5.1合同签订前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27.5.3</w:t>
      </w:r>
      <w:r>
        <w:rPr>
          <w:rFonts w:hint="eastAsia" w:ascii="仿宋" w:hAnsi="仿宋" w:eastAsia="仿宋" w:cs="仿宋"/>
          <w:color w:val="auto"/>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24.5.5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27.5.7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十二</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十二</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9"/>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99"/>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bookmarkStart w:id="34" w:name="OLE_LINK21"/>
      <w:r>
        <w:rPr>
          <w:rFonts w:hint="eastAsia" w:ascii="仿宋" w:hAnsi="仿宋" w:eastAsia="仿宋" w:cs="仿宋"/>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一、本项目采用综合评分法进行评审。</w:t>
      </w:r>
      <w:r>
        <w:rPr>
          <w:rFonts w:hint="eastAsia" w:ascii="仿宋" w:hAnsi="仿宋" w:eastAsia="仿宋" w:cs="仿宋"/>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评审因素的量化指标评审得分最高的供应商为成交候选供应商的评标方法。</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磋商小组将依据下列评分细则进行评标（总分值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100分）：投标报价得分保留小数点后两位，小数点后第三位四舍五入。</w:t>
      </w:r>
      <w:r/>
    </w:p>
    <w:p>
      <w:pPr>
        <w:jc w:val="center"/>
        <w:keepLines w:val="0"/>
        <w:keepNext w:val="0"/>
        <w:pageBreakBefore w:val="0"/>
        <w:spacing w:line="380" w:lineRule="exact"/>
        <w:widowControl w:val="off"/>
        <w:rPr>
          <w:rFonts w:hint="eastAsia" w:ascii="仿宋" w:hAnsi="仿宋" w:eastAsia="仿宋" w:cs="仿宋"/>
          <w:b/>
          <w:color w:val="auto"/>
          <w:sz w:val="24"/>
          <w:szCs w:val="24"/>
          <w:highlight w:val="none"/>
        </w:rPr>
      </w:pPr>
      <w:r/>
      <w:bookmarkStart w:id="35" w:name="OLE_LINK16"/>
      <w:r>
        <w:rPr>
          <w:rFonts w:hint="eastAsia" w:ascii="仿宋" w:hAnsi="仿宋" w:eastAsia="仿宋" w:cs="仿宋"/>
          <w:b/>
          <w:color w:val="auto"/>
          <w:sz w:val="24"/>
          <w:szCs w:val="24"/>
          <w:highlight w:val="none"/>
        </w:rPr>
        <w:t xml:space="preserve">综合评审因素和评分标准（100分）</w:t>
      </w:r>
      <w:bookmarkEnd w:id="35"/>
      <w:r/>
      <w:r/>
    </w:p>
    <w:p>
      <w:pPr>
        <w:spacing w:line="360" w:lineRule="auto"/>
        <w:rPr>
          <w:rFonts w:hint="eastAsia" w:ascii="仿宋" w:hAnsi="仿宋" w:eastAsia="仿宋" w:cs="仿宋"/>
          <w:sz w:val="24"/>
        </w:rPr>
      </w:pPr>
      <w:r>
        <w:rPr>
          <w:rFonts w:hint="eastAsia" w:ascii="仿宋" w:hAnsi="仿宋" w:eastAsia="仿宋" w:cs="仿宋"/>
          <w:b/>
          <w:bCs/>
          <w:sz w:val="24"/>
        </w:rPr>
        <w:t xml:space="preserve">报价得分计算（</w:t>
      </w:r>
      <w:r>
        <w:rPr>
          <w:rFonts w:hint="eastAsia" w:ascii="仿宋" w:hAnsi="仿宋" w:eastAsia="仿宋" w:cs="仿宋"/>
          <w:b/>
          <w:bCs/>
          <w:sz w:val="24"/>
          <w:lang w:val="en-US" w:eastAsia="zh-CN"/>
        </w:rPr>
        <w:t xml:space="preserve">15</w:t>
      </w:r>
      <w:r>
        <w:rPr>
          <w:rFonts w:hint="eastAsia" w:ascii="仿宋" w:hAnsi="仿宋" w:eastAsia="仿宋" w:cs="仿宋"/>
          <w:b/>
          <w:bCs/>
          <w:sz w:val="24"/>
        </w:rPr>
        <w:t xml:space="preserve">分）：</w:t>
      </w:r>
      <w:r/>
    </w:p>
    <w:p>
      <w:pPr>
        <w:spacing w:line="360" w:lineRule="auto"/>
        <w:rPr>
          <w:rFonts w:hint="eastAsia" w:ascii="仿宋" w:hAnsi="仿宋" w:eastAsia="仿宋" w:cs="仿宋"/>
          <w:b/>
          <w:bCs/>
          <w:color w:val="auto"/>
          <w:sz w:val="24"/>
        </w:rPr>
      </w:pPr>
      <w:r>
        <w:rPr>
          <w:rFonts w:hint="eastAsia" w:ascii="仿宋" w:hAnsi="仿宋" w:eastAsia="仿宋" w:cs="仿宋"/>
          <w:color w:val="auto"/>
          <w:sz w:val="24"/>
          <w:highlight w:val="none"/>
        </w:rPr>
        <w:t xml:space="preserve">即满足投标文件要求且最后报价最低的投标人的价格为投标基准价，其价格分为满分，其他投标人的价格分统一按照下列公式计算：投标报价得分=（投标基准价/投标报价）×1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；（四舍五入保留两位小数）。若投标人投标报价超出控制报价范围，则该投标人作无效投标处理。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技术标评分（</w:t>
      </w:r>
      <w:r>
        <w:rPr>
          <w:rFonts w:hint="eastAsia" w:ascii="仿宋" w:hAnsi="仿宋" w:eastAsia="仿宋" w:cs="仿宋"/>
          <w:b/>
          <w:bCs/>
          <w:sz w:val="24"/>
          <w:lang w:val="en-US" w:eastAsia="zh-CN"/>
        </w:rPr>
        <w:t xml:space="preserve">60</w:t>
      </w:r>
      <w:r>
        <w:rPr>
          <w:rFonts w:hint="eastAsia" w:ascii="仿宋" w:hAnsi="仿宋" w:eastAsia="仿宋" w:cs="仿宋"/>
          <w:b/>
          <w:bCs/>
          <w:sz w:val="24"/>
        </w:rPr>
        <w:t xml:space="preserve">分）：</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施工组织总体设想、方案针对性及施工段划分合理性施工方案与技术措施(0~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施工现场平面布置和临时设施、临时道路布置合理性(0~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施工进度计划和各阶段进度的保证措施 (0~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bookmarkStart w:id="36" w:name="OLE_LINK7"/>
      <w:r>
        <w:rPr>
          <w:rFonts w:hint="eastAsia" w:ascii="仿宋" w:hAnsi="仿宋" w:eastAsia="仿宋" w:cs="仿宋"/>
          <w:color w:val="auto"/>
          <w:sz w:val="24"/>
        </w:rPr>
        <w:t xml:space="preserve">各分项工程的施工方案及质量保证措</w:t>
      </w:r>
      <w:bookmarkEnd w:id="36"/>
      <w:r>
        <w:rPr>
          <w:rFonts w:hint="eastAsia" w:ascii="仿宋" w:hAnsi="仿宋" w:eastAsia="仿宋" w:cs="仿宋"/>
          <w:color w:val="auto"/>
          <w:sz w:val="24"/>
        </w:rPr>
        <w:t xml:space="preserve">施 (0~</w:t>
      </w: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安全文明施工及环境保护措施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项目组人员配备、素质及管理经验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劳动力、机械设备和材料投入计划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针对本项目特点的关键施工技术、安全、进度、成本控制的针对性措施并提出相关合理化建议 (0~</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.00)</w:t>
      </w:r>
      <w:r/>
    </w:p>
    <w:p>
      <w:pPr>
        <w:numPr>
          <w:ilvl w:val="0"/>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 </w:t>
      </w:r>
      <w:r>
        <w:rPr>
          <w:rFonts w:hint="eastAsia" w:ascii="仿宋" w:hAnsi="仿宋" w:eastAsia="仿宋" w:cs="仿宋"/>
          <w:color w:val="auto"/>
          <w:sz w:val="24"/>
          <w:lang w:eastAsia="zh-CN"/>
        </w:rPr>
        <w:t xml:space="preserve">方案中除缺少相应内容的评审要点不得分外，其它各项评审要点得分不应低于</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lang w:eastAsia="zh-CN"/>
        </w:rPr>
        <w:t xml:space="preserve">0%。</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商务标评分（</w:t>
      </w:r>
      <w:r>
        <w:rPr>
          <w:rFonts w:hint="eastAsia" w:ascii="仿宋" w:hAnsi="仿宋" w:eastAsia="仿宋" w:cs="仿宋"/>
          <w:b/>
          <w:bCs/>
          <w:sz w:val="24"/>
          <w:lang w:val="en-US" w:eastAsia="zh-CN"/>
        </w:rPr>
        <w:t xml:space="preserve">25</w:t>
      </w:r>
      <w:r>
        <w:rPr>
          <w:rFonts w:hint="eastAsia" w:ascii="仿宋" w:hAnsi="仿宋" w:eastAsia="仿宋" w:cs="仿宋"/>
          <w:b/>
          <w:bCs/>
          <w:sz w:val="24"/>
        </w:rPr>
        <w:t xml:space="preserve">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企业业绩：（0-1</w:t>
      </w:r>
      <w:r>
        <w:rPr>
          <w:rFonts w:hint="eastAsia" w:ascii="仿宋" w:hAnsi="仿宋" w:eastAsia="仿宋" w:cs="仿宋"/>
          <w:b/>
          <w:bCs/>
          <w:sz w:val="24"/>
          <w:lang w:val="en-US" w:eastAsia="zh-CN"/>
        </w:rPr>
        <w:t xml:space="preserve">3</w:t>
      </w:r>
      <w:r>
        <w:rPr>
          <w:rFonts w:hint="eastAsia" w:ascii="仿宋" w:hAnsi="仿宋" w:eastAsia="仿宋" w:cs="仿宋"/>
          <w:b/>
          <w:bCs/>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1、投</w:t>
      </w:r>
      <w:r>
        <w:rPr>
          <w:rFonts w:hint="eastAsia" w:ascii="仿宋" w:hAnsi="仿宋" w:eastAsia="仿宋" w:cs="仿宋"/>
          <w:color w:val="auto"/>
          <w:sz w:val="24"/>
        </w:rPr>
        <w:t xml:space="preserve">标人自</w:t>
      </w:r>
      <w:r>
        <w:rPr>
          <w:rFonts w:hint="eastAsia" w:ascii="仿宋" w:hAnsi="仿宋" w:eastAsia="仿宋" w:cs="仿宋"/>
          <w:b/>
          <w:bCs/>
          <w:color w:val="auto"/>
          <w:sz w:val="24"/>
        </w:rPr>
        <w:t xml:space="preserve">2020年10月1日</w:t>
      </w:r>
      <w:r>
        <w:rPr>
          <w:rFonts w:hint="eastAsia" w:ascii="仿宋" w:hAnsi="仿宋" w:eastAsia="仿宋" w:cs="仿宋"/>
          <w:color w:val="auto"/>
          <w:sz w:val="24"/>
        </w:rPr>
        <w:t xml:space="preserve">以来（以工程竣工验收意见验收时间为准）承担过地质环境修复或地质灾害治理或矿山生态修复工程项目业绩，每个得分</w:t>
      </w:r>
      <w:r>
        <w:rPr>
          <w:rFonts w:hint="eastAsia" w:ascii="仿宋" w:hAnsi="仿宋" w:eastAsia="仿宋" w:cs="仿宋"/>
          <w:color w:val="auto"/>
          <w:sz w:val="24"/>
          <w:lang w:val="en-US" w:eastAsia="zh-CN"/>
        </w:rPr>
        <w:t xml:space="preserve">2.5</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2、</w:t>
      </w:r>
      <w:bookmarkStart w:id="37" w:name="OLE_LINK2"/>
      <w:r>
        <w:rPr>
          <w:rFonts w:hint="eastAsia" w:ascii="仿宋" w:hAnsi="仿宋" w:eastAsia="仿宋" w:cs="仿宋"/>
          <w:color w:val="auto"/>
          <w:sz w:val="24"/>
        </w:rPr>
        <w:t xml:space="preserve">以上业绩获得过省级及以上自然资源部门或国土资源部门工程质</w:t>
      </w:r>
      <w:bookmarkEnd w:id="37"/>
      <w:r>
        <w:rPr>
          <w:rFonts w:hint="eastAsia" w:ascii="仿宋" w:hAnsi="仿宋" w:eastAsia="仿宋" w:cs="仿宋"/>
          <w:color w:val="auto"/>
          <w:sz w:val="24"/>
        </w:rPr>
        <w:t xml:space="preserve">量评定优良及以上的，每个得2.5分</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最高得5分</w:t>
      </w:r>
      <w:r>
        <w:rPr>
          <w:rFonts w:hint="eastAsia" w:ascii="仿宋" w:hAnsi="仿宋" w:eastAsia="仿宋" w:cs="仿宋"/>
          <w:color w:val="auto"/>
          <w:sz w:val="24"/>
        </w:rPr>
        <w:t xml:space="preserve">； 获得过设区市级自然资源部门或国土资源部门工程质量评定优良及以上的，每个得1.5分</w:t>
      </w:r>
      <w:bookmarkStart w:id="38" w:name="OLE_LINK3"/>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最高得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bookmarkEnd w:id="38"/>
      <w:r/>
    </w:p>
    <w:p>
      <w:pPr>
        <w:spacing w:line="360" w:lineRule="auto"/>
        <w:rPr>
          <w:rFonts w:hint="eastAsia" w:ascii="仿宋" w:hAnsi="仿宋" w:eastAsia="仿宋" w:cs="仿宋"/>
          <w:sz w:val="24"/>
        </w:rPr>
      </w:pPr>
      <w:r>
        <w:rPr>
          <w:rFonts w:hint="eastAsia" w:ascii="仿宋" w:hAnsi="仿宋" w:eastAsia="仿宋" w:cs="仿宋"/>
          <w:sz w:val="24"/>
        </w:rPr>
        <w:t xml:space="preserve">注：（1）须提供中标通知书、</w:t>
      </w:r>
      <w:bookmarkStart w:id="39" w:name="OLE_LINK4"/>
      <w:r>
        <w:rPr>
          <w:rFonts w:hint="eastAsia" w:ascii="仿宋" w:hAnsi="仿宋" w:eastAsia="仿宋" w:cs="仿宋"/>
          <w:sz w:val="24"/>
        </w:rPr>
        <w:t xml:space="preserve">施工合同、由组织验收的国土资源部门或自然资源部门或其以上主管部门盖章的工程竣工验收意见书，三者缺一不可。时间以工程竣工验收意见验收时间为准，金额以中标通知书为准。</w:t>
      </w:r>
      <w:r/>
    </w:p>
    <w:p>
      <w:pPr>
        <w:spacing w:line="360" w:lineRule="auto"/>
        <w:rPr>
          <w:rFonts w:hint="eastAsia" w:ascii="仿宋" w:hAnsi="仿宋" w:eastAsia="仿宋" w:cs="仿宋"/>
          <w:sz w:val="24"/>
        </w:rPr>
      </w:pPr>
      <w:r>
        <w:rPr>
          <w:rFonts w:hint="eastAsia" w:ascii="仿宋" w:hAnsi="仿宋" w:eastAsia="仿宋" w:cs="仿宋"/>
          <w:sz w:val="24"/>
        </w:rPr>
        <w:t xml:space="preserve">（2）工程质量评定等级以加盖自然资源部门印章的竣工验收意见为准。</w:t>
      </w:r>
      <w:r/>
    </w:p>
    <w:p>
      <w:pPr>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）提供的证明材料必须能清晰的表明类似工程的投标人名称、工程规模、工程内容、时间等需要明示的内容，若不能明示，则需提供建设单位书面证明文件，证明文件上需加盖建设单位公章，</w:t>
      </w:r>
      <w:bookmarkEnd w:id="39"/>
      <w:r>
        <w:rPr>
          <w:rFonts w:hint="eastAsia" w:ascii="仿宋" w:hAnsi="仿宋" w:eastAsia="仿宋" w:cs="仿宋"/>
          <w:sz w:val="24"/>
        </w:rPr>
        <w:t xml:space="preserve">否则不予认可。</w:t>
      </w:r>
      <w:r/>
    </w:p>
    <w:p>
      <w:pPr>
        <w:spacing w:line="360" w:lineRule="auto"/>
        <w:rPr>
          <w:rFonts w:hint="eastAsia" w:ascii="仿宋" w:hAnsi="仿宋" w:eastAsia="仿宋" w:cs="仿宋"/>
          <w:b/>
          <w:bCs/>
          <w:color w:val="auto"/>
          <w:sz w:val="24"/>
        </w:rPr>
      </w:pPr>
      <w:r>
        <w:rPr>
          <w:rFonts w:hint="eastAsia" w:ascii="仿宋" w:hAnsi="仿宋" w:eastAsia="仿宋" w:cs="仿宋"/>
          <w:b/>
          <w:bCs/>
          <w:sz w:val="24"/>
        </w:rPr>
        <w:t xml:space="preserve">企业</w:t>
      </w:r>
      <w:bookmarkStart w:id="40" w:name="OLE_LINK1"/>
      <w:r>
        <w:rPr>
          <w:rFonts w:hint="eastAsia" w:ascii="仿宋" w:hAnsi="仿宋" w:eastAsia="仿宋" w:cs="仿宋"/>
          <w:b/>
          <w:bCs/>
          <w:sz w:val="24"/>
        </w:rPr>
        <w:t xml:space="preserve">资信(0-</w:t>
      </w:r>
      <w:r>
        <w:rPr>
          <w:rFonts w:hint="eastAsia" w:ascii="仿宋" w:hAnsi="仿宋" w:eastAsia="仿宋" w:cs="仿宋"/>
          <w:b/>
          <w:bCs/>
          <w:sz w:val="24"/>
          <w:lang w:val="en-US" w:eastAsia="zh-CN"/>
        </w:rPr>
        <w:t xml:space="preserve">12</w:t>
      </w:r>
      <w:r>
        <w:rPr>
          <w:rFonts w:hint="eastAsia" w:ascii="仿宋" w:hAnsi="仿宋" w:eastAsia="仿宋" w:cs="仿宋"/>
          <w:b/>
          <w:bCs/>
          <w:sz w:val="24"/>
        </w:rPr>
        <w:t xml:space="preserve">分)</w:t>
      </w:r>
      <w:bookmarkEnd w:id="40"/>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1、项目技术负责人同时具有</w:t>
      </w:r>
      <w:r>
        <w:rPr>
          <w:rFonts w:hint="eastAsia" w:ascii="仿宋" w:hAnsi="仿宋" w:eastAsia="仿宋" w:cs="仿宋"/>
          <w:b/>
          <w:bCs/>
          <w:color w:val="auto"/>
          <w:sz w:val="24"/>
        </w:rPr>
        <w:t xml:space="preserve">矿业工程专业一级注册建造师、国家注册土木工程师（岩土）注册证书</w:t>
      </w:r>
      <w:r>
        <w:rPr>
          <w:rFonts w:hint="eastAsia" w:ascii="仿宋" w:hAnsi="仿宋" w:eastAsia="仿宋" w:cs="仿宋"/>
          <w:color w:val="auto"/>
          <w:sz w:val="24"/>
        </w:rPr>
        <w:t xml:space="preserve">的，得6分；本项最高得6分。</w:t>
      </w:r>
      <w:r/>
    </w:p>
    <w:p>
      <w:pPr>
        <w:spacing w:line="360" w:lineRule="auto"/>
        <w:rPr>
          <w:rFonts w:hint="eastAsia" w:ascii="仿宋" w:hAnsi="仿宋" w:eastAsia="仿宋" w:cs="仿宋"/>
          <w:sz w:val="24"/>
        </w:rPr>
      </w:pPr>
      <w:r>
        <w:rPr>
          <w:rFonts w:hint="eastAsia" w:ascii="仿宋" w:hAnsi="仿宋" w:eastAsia="仿宋" w:cs="仿宋"/>
          <w:sz w:val="24"/>
        </w:rPr>
        <w:t xml:space="preserve">3、本工程拟投入的人员中，除项目负责人、技术负责人外，</w:t>
      </w:r>
      <w:r>
        <w:rPr>
          <w:rFonts w:hint="eastAsia" w:ascii="仿宋" w:hAnsi="仿宋" w:eastAsia="仿宋" w:cs="仿宋"/>
          <w:color w:val="auto"/>
          <w:sz w:val="24"/>
        </w:rPr>
        <w:t xml:space="preserve">具有</w:t>
      </w:r>
      <w:r>
        <w:rPr>
          <w:rFonts w:hint="eastAsia" w:ascii="仿宋" w:hAnsi="仿宋" w:eastAsia="仿宋" w:cs="仿宋"/>
          <w:b/>
          <w:bCs/>
          <w:color w:val="auto"/>
          <w:sz w:val="24"/>
        </w:rPr>
        <w:t xml:space="preserve">水工环、岩土工程</w:t>
      </w:r>
      <w:r>
        <w:rPr>
          <w:rFonts w:hint="eastAsia" w:ascii="仿宋" w:hAnsi="仿宋" w:eastAsia="仿宋" w:cs="仿宋"/>
          <w:color w:val="auto"/>
          <w:sz w:val="24"/>
        </w:rPr>
        <w:t xml:space="preserve">专业技术高级及以上职称的得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分，每缺少一个专业扣</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p>
    <w:p>
      <w:pPr>
        <w:spacing w:line="360" w:lineRule="auto"/>
        <w:rPr>
          <w:rFonts w:hint="eastAsia" w:ascii="宋体" w:hAnsi="宋体" w:eastAsia="宋体" w:cs="宋体"/>
          <w:sz w:val="24"/>
        </w:rPr>
      </w:pPr>
      <w:r>
        <w:rPr>
          <w:rFonts w:hint="eastAsia" w:ascii="仿宋" w:hAnsi="仿宋" w:eastAsia="仿宋" w:cs="仿宋"/>
          <w:sz w:val="24"/>
        </w:rPr>
        <w:t xml:space="preserve">注：提供职称证书或注册证书、提供在投标单位缴纳的</w:t>
      </w:r>
      <w:r>
        <w:rPr>
          <w:rFonts w:hint="eastAsia" w:ascii="仿宋" w:hAnsi="仿宋" w:eastAsia="仿宋" w:cs="仿宋"/>
          <w:sz w:val="24"/>
          <w:lang w:val="en-US" w:eastAsia="zh-CN"/>
        </w:rPr>
        <w:t xml:space="preserve">2025年6月以来任意一个月的</w:t>
      </w:r>
      <w:r>
        <w:rPr>
          <w:rFonts w:hint="eastAsia" w:ascii="仿宋" w:hAnsi="仿宋" w:eastAsia="仿宋" w:cs="仿宋"/>
          <w:sz w:val="24"/>
        </w:rPr>
        <w:t xml:space="preserve">养老保险证明（加盖社保机构章或社保机构缴费证明电子专用章）等证明材料（高等院校、科研机构、军事管理等部门从事工程设计施工的技术人员、事业单位人员不能提供养老保险缴纳证明的，必须出具相关证明材料）</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34"/>
      <w:r/>
      <w:r/>
    </w:p>
    <w:p>
      <w:pPr>
        <w:numPr>
          <w:ilvl w:val="0"/>
          <w:numId w:val="3"/>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41" w:name="OLE_LINK12"/>
      <w:r>
        <w:rPr>
          <w:rFonts w:hint="eastAsia" w:ascii="仿宋" w:hAnsi="仿宋" w:eastAsia="仿宋" w:cs="仿宋"/>
          <w:b/>
          <w:color w:val="auto"/>
          <w:sz w:val="30"/>
          <w:szCs w:val="30"/>
          <w:highlight w:val="none"/>
          <w:lang w:val="en-US" w:eastAsia="zh-CN"/>
        </w:rPr>
        <w:t xml:space="preserve">项目采购需求</w:t>
      </w:r>
      <w:bookmarkEnd w:id="41"/>
      <w:r/>
      <w:r/>
    </w:p>
    <w:p>
      <w:pPr>
        <w:ind w:firstLine="539"/>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39"/>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按盱眙县象山国家矿山公园地质灾害综合治理项目工程设计方案及相关法律法规要求，对治理区局部边坡进行机械和人工削坡、清坡、消除坡面浮石危石后采用主动防护网防护、部分区域砌筑块石挡墙及排水沟完善截排水系统、部分坡面挂网客土喷播绿化、防护栏、围挡等。工程完工后编制竣工报告及相关材料，通过相关文件要求的竣工验收。</w:t>
      </w:r>
      <w:r/>
    </w:p>
    <w:p>
      <w:pPr>
        <w:rPr>
          <w:rFonts w:ascii="仿宋" w:hAnsi="仿宋" w:eastAsia="仿宋" w:cs="仿宋"/>
          <w:color w:val="auto"/>
          <w:sz w:val="22"/>
          <w:szCs w:val="22"/>
          <w:highlight w:val="none"/>
        </w:rPr>
      </w:pPr>
      <w:r>
        <w:rPr>
          <w:rFonts w:ascii="仿宋" w:hAnsi="仿宋" w:eastAsia="仿宋" w:cs="仿宋"/>
          <w:color w:val="auto"/>
          <w:sz w:val="22"/>
          <w:szCs w:val="22"/>
          <w:highlight w:val="none"/>
        </w:rPr>
        <w:br w:type="page" w:clear="all"/>
      </w:r>
      <w:r/>
    </w:p>
    <w:p>
      <w:pPr>
        <w:jc w:val="center"/>
        <w:pageBreakBefore w:val="0"/>
        <w:spacing w:line="380" w:lineRule="exact"/>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693"/>
        <w:ind w:left="0" w:firstLine="0"/>
        <w:jc w:val="center"/>
        <w:pageBreakBefore w:val="0"/>
        <w:spacing w:before="0" w:after="0" w:line="380" w:lineRule="exact"/>
        <w:rPr>
          <w:rFonts w:hint="default" w:hAnsi="宋体" w:eastAsia="宋体"/>
          <w:color w:val="auto"/>
          <w:sz w:val="24"/>
          <w:szCs w:val="40"/>
          <w:highlight w:val="none"/>
          <w:lang w:val="en-US"/>
        </w:rPr>
      </w:pPr>
      <w:r>
        <w:rPr>
          <w:rFonts w:hint="eastAsia" w:hAnsi="宋体" w:eastAsia="宋体"/>
          <w:color w:val="auto"/>
          <w:sz w:val="24"/>
          <w:szCs w:val="4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val="en-US" w:eastAsia="zh-CN"/>
        </w:rPr>
        <w:t xml:space="preserve">           </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lang w:val="en-US" w:eastAsia="zh-CN"/>
        </w:rPr>
        <w:t xml:space="preserve">           </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项目</w:t>
      </w:r>
      <w:r>
        <w:rPr>
          <w:rFonts w:hint="eastAsia" w:ascii="仿宋" w:hAnsi="仿宋" w:eastAsia="仿宋" w:cs="仿宋"/>
          <w:color w:val="auto"/>
          <w:sz w:val="24"/>
          <w:szCs w:val="24"/>
          <w:highlight w:val="none"/>
        </w:rPr>
        <w:t xml:space="preserve">及有关事项协商一致，共同达成如下协议：</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2" w:name="_Toc351203481"/>
      <w:r>
        <w:rPr>
          <w:rFonts w:hint="eastAsia" w:ascii="仿宋" w:hAnsi="仿宋" w:eastAsia="仿宋" w:cs="仿宋"/>
          <w:b w:val="0"/>
          <w:color w:val="auto"/>
          <w:sz w:val="24"/>
          <w:szCs w:val="24"/>
          <w:highlight w:val="none"/>
          <w:lang w:eastAsia="zh-CN"/>
        </w:rPr>
        <w:t xml:space="preserve">一、工程概况</w:t>
      </w:r>
      <w:bookmarkEnd w:id="42"/>
      <w:r/>
      <w:r/>
    </w:p>
    <w:p>
      <w:pPr>
        <w:ind w:firstLine="480"/>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3.资金来源：</w:t>
      </w:r>
      <w:r>
        <w:rPr>
          <w:rFonts w:hint="eastAsia" w:ascii="仿宋" w:hAnsi="仿宋" w:eastAsia="仿宋" w:cs="仿宋"/>
          <w:bCs/>
          <w:color w:val="auto"/>
          <w:sz w:val="24"/>
          <w:szCs w:val="24"/>
          <w:highlight w:val="none"/>
          <w:u w:val="single"/>
          <w:lang w:val="en-US" w:eastAsia="zh-CN"/>
        </w:rPr>
        <w:t xml:space="preserve">已落实</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4.工程内容：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3" w:name="_Toc351203482"/>
      <w:r>
        <w:rPr>
          <w:rFonts w:hint="eastAsia" w:ascii="仿宋" w:hAnsi="仿宋" w:eastAsia="仿宋" w:cs="仿宋"/>
          <w:b w:val="0"/>
          <w:color w:val="auto"/>
          <w:sz w:val="24"/>
          <w:szCs w:val="24"/>
          <w:highlight w:val="none"/>
          <w:lang w:eastAsia="zh-CN"/>
        </w:rPr>
        <w:t xml:space="preserve">二、合同工期</w:t>
      </w:r>
      <w:bookmarkEnd w:id="43"/>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日历天。工期总日历天数与根据前述计划开竣工日期计算的工期天数不一致的，以工期总日历天数为准。</w:t>
      </w:r>
      <w:r/>
    </w:p>
    <w:p>
      <w:pPr>
        <w:pStyle w:val="694"/>
        <w:numPr>
          <w:ilvl w:val="0"/>
          <w:numId w:val="4"/>
        </w:numPr>
        <w:ind w:firstLine="480"/>
        <w:pageBreakBefore w:val="0"/>
        <w:spacing w:before="0" w:after="0" w:line="380" w:lineRule="exact"/>
        <w:rPr>
          <w:rFonts w:hint="eastAsia" w:ascii="仿宋" w:hAnsi="仿宋" w:eastAsia="仿宋" w:cs="仿宋"/>
          <w:color w:val="auto"/>
          <w:sz w:val="24"/>
          <w:szCs w:val="24"/>
          <w:highlight w:val="none"/>
        </w:rPr>
      </w:pPr>
      <w:r/>
      <w:bookmarkStart w:id="44" w:name="_Toc351203483"/>
      <w:r>
        <w:rPr>
          <w:rFonts w:hint="eastAsia" w:ascii="仿宋" w:hAnsi="仿宋" w:eastAsia="仿宋" w:cs="仿宋"/>
          <w:b w:val="0"/>
          <w:color w:val="auto"/>
          <w:sz w:val="24"/>
          <w:szCs w:val="24"/>
          <w:highlight w:val="none"/>
          <w:lang w:eastAsia="zh-CN"/>
        </w:rPr>
        <w:t xml:space="preserve">质量标准</w:t>
      </w:r>
      <w:bookmarkEnd w:id="44"/>
      <w:r>
        <w:rPr>
          <w:rFonts w:hint="eastAsia" w:ascii="仿宋" w:hAnsi="仿宋" w:eastAsia="仿宋" w:cs="仿宋"/>
          <w:b w:val="0"/>
          <w:color w:val="auto"/>
          <w:sz w:val="24"/>
          <w:szCs w:val="24"/>
          <w:highlight w:val="none"/>
          <w:lang w:eastAsia="zh-CN"/>
        </w:rPr>
        <w:t xml:space="preserve">：</w:t>
      </w:r>
      <w:bookmarkStart w:id="45" w:name="_Toc351203484"/>
      <w:r>
        <w:rPr>
          <w:rFonts w:hint="eastAsia" w:ascii="仿宋" w:hAnsi="仿宋" w:eastAsia="仿宋" w:cs="仿宋"/>
          <w:color w:val="auto"/>
          <w:sz w:val="24"/>
          <w:szCs w:val="24"/>
          <w:highlight w:val="none"/>
          <w:lang w:val="en-US" w:eastAsia="zh-CN"/>
        </w:rPr>
        <w:t xml:space="preserve">合格</w:t>
      </w:r>
      <w:r/>
    </w:p>
    <w:p>
      <w:pPr>
        <w:pStyle w:val="694"/>
        <w:numPr>
          <w:ilvl w:val="0"/>
          <w:numId w:val="0"/>
        </w:numPr>
        <w:ind w:firstLine="480"/>
        <w:pageBreakBefore w:val="0"/>
        <w:spacing w:before="0" w:after="0" w:line="380" w:lineRule="exact"/>
        <w:rPr>
          <w:rFonts w:hint="eastAsia" w:ascii="仿宋" w:hAnsi="仿宋" w:eastAsia="仿宋" w:cs="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四、签约合同价与合同价格形式</w:t>
      </w:r>
      <w:bookmarkEnd w:id="45"/>
      <w:r>
        <w:rPr>
          <w:rFonts w:hint="eastAsia" w:ascii="仿宋" w:hAnsi="仿宋" w:eastAsia="仿宋" w:cs="仿宋"/>
          <w:b w:val="0"/>
          <w:color w:val="auto"/>
          <w:sz w:val="24"/>
          <w:szCs w:val="24"/>
          <w:highlight w:val="none"/>
          <w:lang w:eastAsia="zh-CN"/>
        </w:rPr>
        <w:tab/>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lang w:val="en-US" w:eastAsia="zh-CN"/>
        </w:rPr>
        <w:t xml:space="preserve">固定单价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6" w:name="_Toc351203485"/>
      <w:r>
        <w:rPr>
          <w:rFonts w:hint="eastAsia" w:ascii="仿宋" w:hAnsi="仿宋" w:eastAsia="仿宋" w:cs="仿宋"/>
          <w:b w:val="0"/>
          <w:color w:val="auto"/>
          <w:sz w:val="24"/>
          <w:szCs w:val="24"/>
          <w:highlight w:val="none"/>
          <w:lang w:eastAsia="zh-CN"/>
        </w:rPr>
        <w:t xml:space="preserve">五、</w:t>
      </w:r>
      <w:bookmarkEnd w:id="46"/>
      <w:r>
        <w:rPr>
          <w:rFonts w:hint="eastAsia" w:ascii="仿宋" w:hAnsi="仿宋" w:eastAsia="仿宋" w:cs="仿宋"/>
          <w:b w:val="0"/>
          <w:color w:val="auto"/>
          <w:sz w:val="24"/>
          <w:szCs w:val="24"/>
          <w:highlight w:val="none"/>
          <w:lang w:eastAsia="zh-CN"/>
        </w:rPr>
        <w:t xml:space="preserve">项目经理</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7" w:name="_Toc351203486"/>
      <w:r>
        <w:rPr>
          <w:rFonts w:hint="eastAsia" w:ascii="仿宋" w:hAnsi="仿宋" w:eastAsia="仿宋" w:cs="仿宋"/>
          <w:b w:val="0"/>
          <w:color w:val="auto"/>
          <w:sz w:val="24"/>
          <w:szCs w:val="24"/>
          <w:highlight w:val="none"/>
          <w:lang w:eastAsia="zh-CN"/>
        </w:rPr>
        <w:t xml:space="preserve">六、合同文件构成</w:t>
      </w:r>
      <w:bookmarkEnd w:id="47"/>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（5）已标价工程量清单或预算书；</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（6）其他合同文件。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8" w:name="_Toc351203487"/>
      <w:r>
        <w:rPr>
          <w:rFonts w:hint="eastAsia" w:ascii="仿宋" w:hAnsi="仿宋" w:eastAsia="仿宋" w:cs="仿宋"/>
          <w:b w:val="0"/>
          <w:color w:val="auto"/>
          <w:sz w:val="24"/>
          <w:szCs w:val="24"/>
          <w:highlight w:val="none"/>
          <w:lang w:eastAsia="zh-CN"/>
        </w:rPr>
        <w:t xml:space="preserve">七、承诺</w:t>
      </w:r>
      <w:bookmarkEnd w:id="48"/>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9" w:name="_Toc351203488"/>
      <w:r>
        <w:rPr>
          <w:rFonts w:hint="eastAsia" w:ascii="仿宋" w:hAnsi="仿宋" w:eastAsia="仿宋" w:cs="仿宋"/>
          <w:b w:val="0"/>
          <w:color w:val="auto"/>
          <w:sz w:val="24"/>
          <w:szCs w:val="24"/>
          <w:highlight w:val="none"/>
          <w:lang w:eastAsia="zh-CN"/>
        </w:rPr>
        <w:t xml:space="preserve">八、词语含义</w:t>
      </w:r>
      <w:bookmarkEnd w:id="49"/>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0" w:name="_Toc351203489"/>
      <w:r>
        <w:rPr>
          <w:rFonts w:hint="eastAsia" w:ascii="仿宋" w:hAnsi="仿宋" w:eastAsia="仿宋" w:cs="仿宋"/>
          <w:b w:val="0"/>
          <w:color w:val="auto"/>
          <w:sz w:val="24"/>
          <w:szCs w:val="24"/>
          <w:highlight w:val="none"/>
          <w:lang w:eastAsia="zh-CN"/>
        </w:rPr>
        <w:t xml:space="preserve">九、签订时间</w:t>
      </w:r>
      <w:bookmarkEnd w:id="50"/>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1" w:name="_Toc351203490"/>
      <w:r>
        <w:rPr>
          <w:rFonts w:hint="eastAsia" w:ascii="仿宋" w:hAnsi="仿宋" w:eastAsia="仿宋" w:cs="仿宋"/>
          <w:b w:val="0"/>
          <w:color w:val="auto"/>
          <w:sz w:val="24"/>
          <w:szCs w:val="24"/>
          <w:highlight w:val="none"/>
          <w:lang w:eastAsia="zh-CN"/>
        </w:rPr>
        <w:t xml:space="preserve">十、签订地点</w:t>
      </w:r>
      <w:bookmarkEnd w:id="51"/>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盱眙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2" w:name="_Toc351203491"/>
      <w:r>
        <w:rPr>
          <w:rFonts w:hint="eastAsia" w:ascii="仿宋" w:hAnsi="仿宋" w:eastAsia="仿宋" w:cs="仿宋"/>
          <w:b w:val="0"/>
          <w:color w:val="auto"/>
          <w:sz w:val="24"/>
          <w:szCs w:val="24"/>
          <w:highlight w:val="none"/>
          <w:lang w:eastAsia="zh-CN"/>
        </w:rPr>
        <w:t xml:space="preserve">十一、补充协议</w:t>
      </w:r>
      <w:bookmarkEnd w:id="52"/>
      <w:r/>
      <w:r/>
    </w:p>
    <w:p>
      <w:pPr>
        <w:ind w:firstLine="480"/>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3" w:name="_Toc351203492"/>
      <w:r>
        <w:rPr>
          <w:rFonts w:hint="eastAsia" w:ascii="仿宋" w:hAnsi="仿宋" w:eastAsia="仿宋" w:cs="仿宋"/>
          <w:b w:val="0"/>
          <w:color w:val="auto"/>
          <w:sz w:val="24"/>
          <w:szCs w:val="24"/>
          <w:highlight w:val="none"/>
          <w:lang w:eastAsia="zh-CN"/>
        </w:rPr>
        <w:t xml:space="preserve">十二、合同生效</w:t>
      </w:r>
      <w:bookmarkEnd w:id="53"/>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本合同自发包人、承包人签字盖章后生效。</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4" w:name="_Toc351203493"/>
      <w:r>
        <w:rPr>
          <w:rFonts w:hint="eastAsia" w:ascii="仿宋" w:hAnsi="仿宋" w:eastAsia="仿宋" w:cs="仿宋"/>
          <w:b w:val="0"/>
          <w:color w:val="auto"/>
          <w:sz w:val="24"/>
          <w:szCs w:val="24"/>
          <w:highlight w:val="none"/>
          <w:lang w:eastAsia="zh-CN"/>
        </w:rPr>
        <w:t xml:space="preserve">十三、合同份数</w:t>
      </w:r>
      <w:bookmarkEnd w:id="54"/>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w:t>
      </w:r>
      <w:r>
        <w:rPr>
          <w:rFonts w:hint="eastAsia" w:ascii="仿宋" w:hAnsi="仿宋" w:eastAsia="仿宋" w:cs="仿宋"/>
          <w:bCs/>
          <w:color w:val="auto"/>
          <w:sz w:val="24"/>
          <w:szCs w:val="24"/>
          <w:highlight w:val="none"/>
          <w:lang w:eastAsia="zh-CN"/>
        </w:rPr>
        <w:t xml:space="preserve">一式</w:t>
      </w:r>
      <w:r>
        <w:rPr>
          <w:rFonts w:hint="eastAsia" w:ascii="仿宋" w:hAnsi="仿宋" w:eastAsia="仿宋" w:cs="仿宋"/>
          <w:bCs/>
          <w:color w:val="auto"/>
          <w:sz w:val="24"/>
          <w:szCs w:val="24"/>
          <w:highlight w:val="none"/>
          <w:lang w:val="en-US" w:eastAsia="zh-CN"/>
        </w:rPr>
        <w:t xml:space="preserve">五</w:t>
      </w:r>
      <w:r>
        <w:rPr>
          <w:rFonts w:hint="eastAsia" w:ascii="仿宋" w:hAnsi="仿宋" w:eastAsia="仿宋" w:cs="仿宋"/>
          <w:bCs/>
          <w:color w:val="auto"/>
          <w:sz w:val="24"/>
          <w:szCs w:val="24"/>
          <w:highlight w:val="none"/>
          <w:lang w:eastAsia="zh-CN"/>
        </w:rPr>
        <w:t xml:space="preserve">份</w:t>
      </w:r>
      <w:r>
        <w:rPr>
          <w:rFonts w:hint="eastAsia" w:ascii="仿宋" w:hAnsi="仿宋" w:eastAsia="仿宋" w:cs="仿宋"/>
          <w:bCs/>
          <w:color w:val="auto"/>
          <w:sz w:val="24"/>
          <w:szCs w:val="24"/>
          <w:highlight w:val="none"/>
        </w:rPr>
        <w:t xml:space="preserve">，均具有同等法律效力，发包人执贰份，承包人执</w:t>
      </w:r>
      <w:r>
        <w:rPr>
          <w:rFonts w:hint="eastAsia" w:ascii="仿宋" w:hAnsi="仿宋" w:eastAsia="仿宋" w:cs="仿宋"/>
          <w:bCs/>
          <w:color w:val="auto"/>
          <w:sz w:val="24"/>
          <w:szCs w:val="24"/>
          <w:highlight w:val="none"/>
          <w:lang w:val="en-US" w:eastAsia="zh-CN"/>
        </w:rPr>
        <w:t xml:space="preserve">二</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代理机构资料存档一份</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（签字或盖章）                       （签字或盖章）</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                                账号：</w:t>
      </w:r>
      <w:r/>
    </w:p>
    <w:p>
      <w:pPr>
        <w:ind w:firstLine="720"/>
        <w:pageBreakBefore w:val="0"/>
        <w:spacing w:line="380" w:lineRule="exact"/>
        <w:rPr>
          <w:rFonts w:hint="eastAsia" w:ascii="仿宋" w:hAnsi="仿宋" w:eastAsia="仿宋" w:cs="仿宋"/>
          <w:color w:val="auto"/>
          <w:sz w:val="24"/>
          <w:szCs w:val="24"/>
          <w:highlight w:val="none"/>
          <w:lang w:val="en-US" w:eastAsia="zh-CN"/>
        </w:rPr>
      </w:pPr>
      <w:r/>
      <w:bookmarkStart w:id="55" w:name="_Toc49800674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p>
    <w:p>
      <w:pPr>
        <w:pStyle w:val="716"/>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第二部分 通用合同条款</w:t>
      </w:r>
      <w:bookmarkEnd w:id="55"/>
      <w:r/>
      <w:r/>
    </w:p>
    <w:p>
      <w:pPr>
        <w:jc w:val="cente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采用《建设工程施工合同（示范文本）》（GF</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2017</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0201）</w:t>
      </w:r>
      <w:bookmarkStart w:id="56" w:name="_Toc498006746"/>
      <w:r/>
      <w:r/>
    </w:p>
    <w:p>
      <w:pPr>
        <w:pStyle w:val="693"/>
        <w:jc w:val="center"/>
        <w:pageBreakBefore w:val="0"/>
        <w:spacing w:before="0" w:after="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第三部分 专用合同条款</w:t>
      </w:r>
      <w:bookmarkEnd w:id="5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57" w:name="_Toc351203633"/>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1</w:t>
      </w:r>
      <w:bookmarkStart w:id="58" w:name="_Toc296944495"/>
      <w:r/>
      <w:bookmarkStart w:id="59" w:name="_Toc292559361"/>
      <w:r/>
      <w:bookmarkStart w:id="60" w:name="_Toc296891196"/>
      <w:r/>
      <w:bookmarkStart w:id="61" w:name="_Toc292559866"/>
      <w:r/>
      <w:bookmarkStart w:id="62" w:name="_Toc296347155"/>
      <w:r/>
      <w:bookmarkStart w:id="63" w:name="_Toc296890984"/>
      <w:r/>
      <w:bookmarkStart w:id="64" w:name="_Toc296503156"/>
      <w:r/>
      <w:bookmarkStart w:id="65" w:name="_Toc296346657"/>
      <w:r/>
      <w:bookmarkStart w:id="66" w:name="_Toc297120456"/>
      <w:r/>
      <w:bookmarkStart w:id="67" w:name="_Toc297048342"/>
      <w:r>
        <w:rPr>
          <w:rFonts w:hint="eastAsia" w:ascii="仿宋" w:hAnsi="仿宋" w:eastAsia="仿宋" w:cs="仿宋"/>
          <w:color w:val="auto"/>
          <w:sz w:val="24"/>
          <w:szCs w:val="24"/>
          <w:highlight w:val="none"/>
          <w:lang w:eastAsia="zh-CN"/>
        </w:rPr>
        <w:t xml:space="preserve">. 一般约定</w:t>
      </w:r>
      <w:bookmarkEnd w:id="57"/>
      <w:r/>
      <w:bookmarkEnd w:id="58"/>
      <w:r/>
      <w:bookmarkEnd w:id="59"/>
      <w:r/>
      <w:bookmarkEnd w:id="60"/>
      <w:r/>
      <w:bookmarkEnd w:id="61"/>
      <w:r/>
      <w:bookmarkEnd w:id="62"/>
      <w:r/>
      <w:bookmarkEnd w:id="63"/>
      <w:r/>
      <w:bookmarkEnd w:id="64"/>
      <w:r/>
      <w:bookmarkEnd w:id="65"/>
      <w:r/>
      <w:bookmarkEnd w:id="66"/>
      <w:r/>
      <w:bookmarkEnd w:id="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 词语定义</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  1、本合同协议书及补充协议； 2、中标通知书；3、本合同专用条款；4、招标文件及其附件；5、投标文件及其附件；6、本合同通用条款 ；7、标准、规范及有关技术文件、技术要求；8、施工图纸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监理人：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设计人：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作为施工现场组成部分的其他场所包括：</w:t>
      </w:r>
      <w:r>
        <w:rPr>
          <w:rFonts w:hint="eastAsia" w:ascii="仿宋" w:hAnsi="仿宋" w:eastAsia="仿宋" w:cs="仿宋"/>
          <w:color w:val="auto"/>
          <w:sz w:val="24"/>
          <w:szCs w:val="24"/>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永久占地包括：</w:t>
      </w:r>
      <w:r>
        <w:rPr>
          <w:rFonts w:hint="eastAsia" w:ascii="仿宋" w:hAnsi="仿宋" w:eastAsia="仿宋" w:cs="仿宋"/>
          <w:color w:val="auto"/>
          <w:sz w:val="24"/>
          <w:szCs w:val="24"/>
          <w:highlight w:val="none"/>
          <w:u w:val="single"/>
        </w:rPr>
        <w:t xml:space="preserve">依据设计图纸确定</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临时占地包括：</w:t>
      </w:r>
      <w:r>
        <w:rPr>
          <w:rFonts w:hint="eastAsia" w:ascii="仿宋" w:hAnsi="仿宋" w:eastAsia="仿宋" w:cs="仿宋"/>
          <w:color w:val="auto"/>
          <w:sz w:val="24"/>
          <w:szCs w:val="24"/>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中华人民共和国民法典》《</w:t>
      </w:r>
      <w:r>
        <w:rPr>
          <w:rFonts w:hint="eastAsia" w:ascii="仿宋" w:hAnsi="仿宋" w:eastAsia="仿宋" w:cs="仿宋"/>
          <w:color w:val="auto"/>
          <w:sz w:val="24"/>
          <w:szCs w:val="24"/>
          <w:highlight w:val="none"/>
          <w:u w:val="single"/>
        </w:rPr>
        <w:t xml:space="preserve">招投标法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中华人民共和国建筑法</w:t>
      </w:r>
      <w:r>
        <w:rPr>
          <w:rFonts w:hint="eastAsia" w:ascii="仿宋" w:hAnsi="仿宋" w:eastAsia="仿宋" w:cs="仿宋"/>
          <w:color w:val="auto"/>
          <w:sz w:val="24"/>
          <w:szCs w:val="24"/>
          <w:highlight w:val="none"/>
          <w:u w:val="single"/>
          <w:lang w:eastAsia="zh-CN"/>
        </w:rPr>
        <w:t xml:space="preserve">》《建设工程质量管理条例</w:t>
      </w:r>
      <w:r>
        <w:rPr>
          <w:rFonts w:hint="eastAsia" w:ascii="仿宋" w:hAnsi="仿宋" w:eastAsia="仿宋" w:cs="仿宋"/>
          <w:color w:val="auto"/>
          <w:sz w:val="24"/>
          <w:szCs w:val="24"/>
          <w:highlight w:val="none"/>
          <w:u w:val="single"/>
        </w:rPr>
        <w:t xml:space="preserve">》等</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 按国家标准同时符合强制性规范验收要求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 合同文件的优先顺序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中标通知书、投标函及其附录、招标文件、投标文件、专用合同条款及其附件、通用合同条款、技术标准和要求、图纸、已标价的工程量清单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开工前14日内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 全套 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承包人文件</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  投标文件（电子版及打印同时装订成册的投标文件、投标报价软件版计价文件电子版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  一套电子版投标文件、一套软件版计价文件、投标文件装订成册二套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   书面形式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现场图纸准备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监理人、承包人在施工场地各保存一套完整的图纸和承包人文件</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1.7 联络</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1.7.1发包人和承包人应当在天内将与合同有关的通知、批准、证明、证书、指示、指令、要求、请求、同意、意见、确定和决定等书面函件送达对方当事人。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项目所在地发包人项目部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发包人代表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项目所在地承包人项目部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承包人项目经理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项目所在地监理人办公室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监理工程师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8" w:name="_Toc14538"/>
      <w:r/>
      <w:bookmarkStart w:id="69" w:name="_Toc1749"/>
      <w:r/>
      <w:bookmarkStart w:id="70" w:name="_Toc31858115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交通运输</w:t>
      </w:r>
      <w:bookmarkEnd w:id="68"/>
      <w:r/>
      <w:bookmarkEnd w:id="6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71" w:name="_Toc17634"/>
      <w:r/>
      <w:bookmarkStart w:id="72" w:name="_Toc11558"/>
      <w:r>
        <w:rPr>
          <w:rFonts w:hint="eastAsia" w:ascii="仿宋" w:hAnsi="仿宋" w:eastAsia="仿宋" w:cs="仿宋"/>
          <w:color w:val="auto"/>
          <w:sz w:val="24"/>
          <w:szCs w:val="24"/>
          <w:highlight w:val="none"/>
        </w:rPr>
        <w:t xml:space="preserve">1</w:t>
      </w:r>
      <w:bookmarkStart w:id="73" w:name="_Toc312677986"/>
      <w:r/>
      <w:bookmarkStart w:id="74" w:name="_Toc303539100"/>
      <w:r/>
      <w:bookmarkStart w:id="75" w:name="_Toc304295521"/>
      <w:r/>
      <w:bookmarkStart w:id="76" w:name="_Toc318581155"/>
      <w:r/>
      <w:bookmarkStart w:id="77" w:name="_Toc300934943"/>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出入现场的权利</w:t>
      </w:r>
      <w:bookmarkEnd w:id="71"/>
      <w:r/>
      <w:bookmarkEnd w:id="72"/>
      <w:r/>
      <w:r/>
    </w:p>
    <w:p>
      <w:pPr>
        <w:ind w:left="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4"/>
          <w:szCs w:val="24"/>
          <w:highlight w:val="none"/>
          <w:u w:val="single"/>
          <w:lang w:eastAsia="zh-CN"/>
        </w:rPr>
        <w:t xml:space="preserve">，由</w:t>
      </w:r>
      <w:r>
        <w:rPr>
          <w:rFonts w:hint="eastAsia" w:ascii="仿宋" w:hAnsi="仿宋" w:eastAsia="仿宋" w:cs="仿宋"/>
          <w:color w:val="auto"/>
          <w:sz w:val="24"/>
          <w:szCs w:val="24"/>
          <w:highlight w:val="none"/>
          <w:u w:val="single"/>
        </w:rPr>
        <w:t xml:space="preserve">承包人已投标时综合考虑，已包含在发包价内。发包人不再予以额外补偿</w:t>
      </w:r>
      <w:r>
        <w:rPr>
          <w:rFonts w:hint="eastAsia" w:ascii="仿宋" w:hAnsi="仿宋" w:eastAsia="仿宋" w:cs="仿宋"/>
          <w:color w:val="auto"/>
          <w:sz w:val="24"/>
          <w:szCs w:val="24"/>
          <w:highlight w:val="none"/>
        </w:rPr>
        <w:t xml:space="preserve">。</w:t>
      </w:r>
      <w:bookmarkEnd w:id="73"/>
      <w:r/>
      <w:bookmarkEnd w:id="74"/>
      <w:r/>
      <w:bookmarkEnd w:id="75"/>
      <w:r/>
      <w:bookmarkEnd w:id="76"/>
      <w:r/>
      <w:bookmarkEnd w:id="77"/>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78" w:name="_Toc23298"/>
      <w:r/>
      <w:bookmarkStart w:id="79" w:name="_Toc11813"/>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场内交通</w:t>
      </w:r>
      <w:bookmarkEnd w:id="78"/>
      <w:r/>
      <w:bookmarkEnd w:id="7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以规划红线为界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超大件和超重件的运输</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运输超大件或超重件所需的道路和桥梁临时加固改造费用和其他有关费用由承担。</w:t>
      </w:r>
      <w:bookmarkEnd w:id="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0" w:name="_Toc29204"/>
      <w:r/>
      <w:bookmarkStart w:id="81" w:name="_Toc19332"/>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 知识产权</w:t>
      </w:r>
      <w:bookmarkEnd w:id="80"/>
      <w:r/>
      <w:bookmarkEnd w:id="8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未</w:t>
      </w:r>
      <w:r>
        <w:rPr>
          <w:rFonts w:hint="eastAsia" w:ascii="仿宋" w:hAnsi="仿宋" w:eastAsia="仿宋" w:cs="仿宋"/>
          <w:color w:val="auto"/>
          <w:sz w:val="24"/>
          <w:szCs w:val="24"/>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2" w:name="_Toc18045"/>
      <w:r/>
      <w:bookmarkStart w:id="83" w:name="_Toc24001"/>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.2 关于承包人为实施工程所编制文件的著作权的归属：</w:t>
      </w:r>
      <w:r>
        <w:rPr>
          <w:rFonts w:hint="eastAsia" w:ascii="仿宋" w:hAnsi="仿宋" w:eastAsia="仿宋" w:cs="仿宋"/>
          <w:color w:val="auto"/>
          <w:sz w:val="24"/>
          <w:szCs w:val="24"/>
          <w:highlight w:val="none"/>
          <w:u w:val="single"/>
        </w:rPr>
        <w:t xml:space="preserve"> 发包人</w:t>
      </w:r>
      <w:r>
        <w:rPr>
          <w:rFonts w:hint="eastAsia" w:ascii="仿宋" w:hAnsi="仿宋" w:eastAsia="仿宋" w:cs="仿宋"/>
          <w:color w:val="auto"/>
          <w:sz w:val="24"/>
          <w:szCs w:val="24"/>
          <w:highlight w:val="none"/>
        </w:rPr>
        <w:t xml:space="preserve">。</w:t>
      </w:r>
      <w:bookmarkEnd w:id="82"/>
      <w:r/>
      <w:bookmarkEnd w:id="8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按通用合同条款执行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工程量清单错误的修正</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不调整综合单价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 工程量按实计算，</w:t>
      </w:r>
      <w:r>
        <w:rPr>
          <w:rFonts w:hint="eastAsia" w:ascii="仿宋" w:hAnsi="仿宋" w:eastAsia="仿宋" w:cs="仿宋"/>
          <w:color w:val="auto"/>
          <w:sz w:val="24"/>
          <w:szCs w:val="24"/>
          <w:highlight w:val="none"/>
          <w:u w:val="single"/>
          <w:lang w:eastAsia="zh-CN"/>
        </w:rPr>
        <w:t xml:space="preserve">合同</w:t>
      </w:r>
      <w:r>
        <w:rPr>
          <w:rFonts w:hint="eastAsia" w:ascii="仿宋" w:hAnsi="仿宋" w:eastAsia="仿宋" w:cs="仿宋"/>
          <w:color w:val="auto"/>
          <w:sz w:val="24"/>
          <w:szCs w:val="24"/>
          <w:highlight w:val="none"/>
          <w:u w:val="single"/>
        </w:rPr>
        <w:t xml:space="preserve">投标报价（人工、材料、机械、管理费、利润以及各项措施项目费用 </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84" w:name="_Toc351203634"/>
      <w:r>
        <w:rPr>
          <w:rFonts w:hint="eastAsia" w:ascii="仿宋" w:hAnsi="仿宋" w:eastAsia="仿宋" w:cs="仿宋"/>
          <w:color w:val="auto"/>
          <w:sz w:val="24"/>
          <w:szCs w:val="24"/>
          <w:highlight w:val="none"/>
          <w:lang w:eastAsia="zh-CN"/>
        </w:rPr>
        <w:t xml:space="preserve">2</w:t>
      </w:r>
      <w:bookmarkStart w:id="85" w:name="_Toc296891197"/>
      <w:r/>
      <w:bookmarkStart w:id="86" w:name="_Toc296503157"/>
      <w:r/>
      <w:bookmarkStart w:id="87" w:name="_Toc292559362"/>
      <w:r/>
      <w:bookmarkStart w:id="88" w:name="_Toc297048343"/>
      <w:r/>
      <w:bookmarkStart w:id="89" w:name="_Toc297120457"/>
      <w:r/>
      <w:bookmarkStart w:id="90" w:name="_Toc296944496"/>
      <w:r/>
      <w:bookmarkStart w:id="91" w:name="_Toc292559867"/>
      <w:r/>
      <w:bookmarkStart w:id="92" w:name="_Toc296890985"/>
      <w:r/>
      <w:bookmarkStart w:id="93" w:name="_Toc296347156"/>
      <w:r/>
      <w:bookmarkStart w:id="94" w:name="_Toc296346658"/>
      <w:r>
        <w:rPr>
          <w:rFonts w:hint="eastAsia" w:ascii="仿宋" w:hAnsi="仿宋" w:eastAsia="仿宋" w:cs="仿宋"/>
          <w:color w:val="auto"/>
          <w:sz w:val="24"/>
          <w:szCs w:val="24"/>
          <w:highlight w:val="none"/>
          <w:lang w:eastAsia="zh-CN"/>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对监理单位和承包人的工作进行监督、协调及外部组织协调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对不称职的监理、施工人员的更换权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施工现场、施工条件和基础资料的提供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提供施工现场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none"/>
        </w:rPr>
        <w:t xml:space="preserve">开工日期前15天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提供施工条件</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（1）施工现场具备施工条件的要求及完成时间：已完成。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本工程所需施工用电由发包人提供供电接口，从供电接口至施工现场所产生的一切费用及施工中应承担的电费和电损费用由承包人承担。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（3）施工场地与公共道路的通道开通时间和要求：  已开通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（4）工程地质和地下管网线资料的提供时间：开工前一周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（7）图纸会审和设计交底时间：开工前。</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资金来源证明及支付担保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95" w:name="_Toc351203635"/>
      <w:r>
        <w:rPr>
          <w:rFonts w:hint="eastAsia" w:ascii="仿宋" w:hAnsi="仿宋" w:eastAsia="仿宋" w:cs="仿宋"/>
          <w:color w:val="auto"/>
          <w:sz w:val="24"/>
          <w:szCs w:val="24"/>
          <w:highlight w:val="none"/>
          <w:lang w:eastAsia="zh-CN"/>
        </w:rPr>
        <w:t xml:space="preserve">3</w:t>
      </w:r>
      <w:bookmarkStart w:id="96" w:name="_Toc296347157"/>
      <w:r/>
      <w:bookmarkStart w:id="97" w:name="_Toc296346659"/>
      <w:r/>
      <w:bookmarkStart w:id="98" w:name="_Toc297120458"/>
      <w:r/>
      <w:bookmarkStart w:id="99" w:name="_Toc296503158"/>
      <w:r/>
      <w:bookmarkStart w:id="100" w:name="_Toc296944497"/>
      <w:r/>
      <w:bookmarkStart w:id="101" w:name="_Toc292559363"/>
      <w:r/>
      <w:bookmarkStart w:id="102" w:name="_Toc292559868"/>
      <w:r/>
      <w:bookmarkStart w:id="103" w:name="_Toc297048344"/>
      <w:r/>
      <w:bookmarkStart w:id="104" w:name="_Toc296891198"/>
      <w:r/>
      <w:bookmarkStart w:id="105" w:name="_Toc296890986"/>
      <w:r>
        <w:rPr>
          <w:rFonts w:hint="eastAsia" w:ascii="仿宋" w:hAnsi="仿宋" w:eastAsia="仿宋" w:cs="仿宋"/>
          <w:color w:val="auto"/>
          <w:sz w:val="24"/>
          <w:szCs w:val="24"/>
          <w:highlight w:val="none"/>
          <w:lang w:eastAsia="zh-CN"/>
        </w:rPr>
        <w:t xml:space="preserve">. 承包人</w:t>
      </w:r>
      <w:bookmarkEnd w:id="95"/>
      <w:r/>
      <w:bookmarkEnd w:id="96"/>
      <w:r/>
      <w:bookmarkEnd w:id="97"/>
      <w:r/>
      <w:bookmarkEnd w:id="98"/>
      <w:r/>
      <w:bookmarkEnd w:id="99"/>
      <w:r/>
      <w:bookmarkEnd w:id="100"/>
      <w:r/>
      <w:bookmarkEnd w:id="101"/>
      <w:r/>
      <w:bookmarkEnd w:id="102"/>
      <w:r/>
      <w:bookmarkEnd w:id="103"/>
      <w:r/>
      <w:bookmarkEnd w:id="104"/>
      <w:r/>
      <w:bookmarkEnd w:id="10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中标通知书、招标文件、投标文件、合同及协议附件、竣工图纸、变更签证、竣工结算书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2套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   施工单位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若因承包人提供的竣工资料延误或所报材料不符合要求影响正常工程竣工验收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导致发包人的工程不能按期交付或投入使用</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无论哪项拖延，均视为承包人违约</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承包人按每拖延一天 1000元向发包人支付违约金</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并且发包人保留进一步向承包人索赔补偿不足部分的权利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  书面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4"/>
          <w:szCs w:val="24"/>
          <w:highlight w:val="none"/>
          <w:u w:val="single"/>
          <w:lang w:eastAsia="zh-CN"/>
        </w:rPr>
        <w:t xml:space="preserve">涉及</w:t>
      </w:r>
      <w:r>
        <w:rPr>
          <w:rFonts w:hint="eastAsia" w:ascii="仿宋" w:hAnsi="仿宋" w:eastAsia="仿宋" w:cs="仿宋"/>
          <w:color w:val="auto"/>
          <w:sz w:val="24"/>
          <w:szCs w:val="24"/>
          <w:highlight w:val="none"/>
          <w:u w:val="single"/>
        </w:rPr>
        <w:t xml:space="preserve">承包人的安全监督、质量监督、施工备案、车辆准运等有关证、照，均由承包人自行办理，发包人给予配合，发生的费用全部由承包人承担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涉及的</w:t>
      </w:r>
      <w:r>
        <w:rPr>
          <w:rFonts w:hint="eastAsia" w:ascii="仿宋" w:hAnsi="仿宋" w:eastAsia="仿宋" w:cs="仿宋"/>
          <w:color w:val="auto"/>
          <w:sz w:val="24"/>
          <w:szCs w:val="24"/>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（5）承包人所报价格应包含其自身分包引起的各项增加的或额外的费用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（6）承包人加强工程施工车辆的管理，施工车辆不得无故堵塞道路交通，不得沿途</w:t>
      </w:r>
      <w:r>
        <w:rPr>
          <w:rFonts w:hint="eastAsia" w:ascii="仿宋" w:hAnsi="仿宋" w:eastAsia="仿宋" w:cs="仿宋"/>
          <w:color w:val="auto"/>
          <w:sz w:val="24"/>
          <w:szCs w:val="24"/>
          <w:highlight w:val="none"/>
          <w:u w:val="single"/>
          <w:lang w:eastAsia="zh-CN"/>
        </w:rPr>
        <w:t xml:space="preserve">抛撒</w:t>
      </w:r>
      <w:r>
        <w:rPr>
          <w:rFonts w:hint="eastAsia" w:ascii="仿宋" w:hAnsi="仿宋" w:eastAsia="仿宋" w:cs="仿宋"/>
          <w:color w:val="auto"/>
          <w:sz w:val="24"/>
          <w:szCs w:val="24"/>
          <w:highlight w:val="none"/>
          <w:u w:val="single"/>
        </w:rPr>
        <w:t xml:space="preserve">弃土，并根据发包人的要求，安排人员在主要路口疏导车辆、行人交通，其费用由承包人负责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（7）承包人必须对施工现场临时用水、用电工作，进行统一管理，包括但不限于以下内容：</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③承包人应充分考虑用电负荷控制和漏电保护，否则承担一切损失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④承包人的自行分包项目，其使用水电由承包人自行解决与管理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⑤承包人应该充分考虑为各专业承包人提供足额的用水量，否则造成重新从总水源接水的费用由承包人承担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⑥如因城市供电、供水部门等非发包人原因导致的停电、停水超出国家、省、市相关规定，承包人可提出合理工期索赔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⑦临时水电设施的拆除必须征得监理工程师与发包人的批准，拆除后的临时水、电设施由承包人自行处理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①设置、维修和管理临时排污系统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②每天保持施工道路的畅通与清洁，负责保养及维修进入工地施工区域道路，费用由承包人承担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③收集和处理所有施工现场和生活区域内的所有垃圾，直到竣工交付为止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④承包人应按发包人要求，按规定做好场内道路硬化、布置各项标识、标牌、便于检查、视察或参观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⑤竣工交付时应将其排污设施全部拆除并清理至发包人满意，承包人承担其相应的费用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（9）在现场施工中，承包人应负责自身施工区域与公共区域的安全设施的搭设与维修管理工作，以及为安全检查所进行的管理、协调、配合工作等。</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（12）承包人必须立刻执行发包人派驻的工程师</w:t>
      </w:r>
      <w:r>
        <w:rPr>
          <w:rFonts w:hint="eastAsia" w:ascii="仿宋" w:hAnsi="仿宋" w:eastAsia="仿宋" w:cs="仿宋"/>
          <w:color w:val="auto"/>
          <w:sz w:val="24"/>
          <w:szCs w:val="24"/>
          <w:highlight w:val="none"/>
          <w:u w:val="single"/>
          <w:lang w:eastAsia="zh-CN"/>
        </w:rPr>
        <w:t xml:space="preserve">或</w:t>
      </w:r>
      <w:r>
        <w:rPr>
          <w:rFonts w:hint="eastAsia" w:ascii="仿宋" w:hAnsi="仿宋" w:eastAsia="仿宋" w:cs="仿宋"/>
          <w:color w:val="auto"/>
          <w:sz w:val="24"/>
          <w:szCs w:val="24"/>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4"/>
          <w:szCs w:val="24"/>
          <w:highlight w:val="none"/>
          <w:u w:val="single"/>
          <w:lang w:eastAsia="zh-CN"/>
        </w:rPr>
        <w:t xml:space="preserve">将</w:t>
      </w:r>
      <w:r>
        <w:rPr>
          <w:rFonts w:hint="eastAsia" w:ascii="仿宋" w:hAnsi="仿宋" w:eastAsia="仿宋" w:cs="仿宋"/>
          <w:color w:val="auto"/>
          <w:sz w:val="24"/>
          <w:szCs w:val="24"/>
          <w:highlight w:val="none"/>
          <w:u w:val="single"/>
        </w:rPr>
        <w:t xml:space="preserve">付给承包人的款项中扣除而无须承包人认可，由此造成发包人额外损失或间接损失的，作为债务向承包人追讨 。</w:t>
      </w:r>
      <w:r/>
    </w:p>
    <w:p>
      <w:pPr>
        <w:ind w:left="0" w:firstLine="480"/>
        <w:pageBreakBefore w:val="0"/>
        <w:spacing w:line="38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 xml:space="preserve">（13）承包人必须签收监理工程师发出的书面资料，如有异议必须在收文之日起3日内书面回复，否则视同认可</w:t>
      </w:r>
      <w:r>
        <w:rPr>
          <w:rFonts w:hint="eastAsia" w:ascii="仿宋" w:hAnsi="仿宋" w:eastAsia="仿宋" w:cs="仿宋"/>
          <w:color w:val="auto"/>
          <w:sz w:val="24"/>
          <w:szCs w:val="24"/>
          <w:highlight w:val="none"/>
          <w:u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①承包人负责上述整个项目的现场管理、工期控制、各专业工程间协调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②承包人负责制定上述整个项目的施工总进度计划、总施工组织设计、执行监理人的有关指令，圆满解决施工、验收中的所有问题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4"/>
          <w:szCs w:val="24"/>
          <w:highlight w:val="none"/>
          <w:u w:val="single"/>
          <w:lang w:eastAsia="zh-CN"/>
        </w:rPr>
        <w:t xml:space="preserve">质地</w:t>
      </w:r>
      <w:r>
        <w:rPr>
          <w:rFonts w:hint="eastAsia" w:ascii="仿宋" w:hAnsi="仿宋" w:eastAsia="仿宋" w:cs="仿宋"/>
          <w:color w:val="auto"/>
          <w:sz w:val="24"/>
          <w:szCs w:val="24"/>
          <w:highlight w:val="none"/>
          <w:u w:val="single"/>
        </w:rPr>
        <w:t xml:space="preserve">完成上述整个项目内所有专业工程项目。具体责任包括但不限于如下列举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a.配合专业工程的施工，包括提供施工场地和工作面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b.承担施工界面交接处产生的缺陷修补及收头处理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d.负责向专业工程单位，按届时的现场条件提供已有的垂直运输机械、脚手架的使用方便，且不得向其收取任何额外的费用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e.督查和落实专业工程单位严格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f.按照国家和地方颁布的工程质量标准、规范，有针对性地落实工程各阶段、各专业的质量管理措施，督查专业工程单位严格执行，确保工程达到本合同要求的质量目标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g.督促和检查专业工程单位按发包人的要求整理各类施工及竣工</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包括竣工图</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的工程技术资料编制，并负责收集整理、汇总本工程施工过程中的有关图纸、技术资料和其他各类工程档案文件资料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h.督查专业工程单位落实产品保护工作。设置足够的为产品保护所需的人力及其他必要的临设，以确保已完工程的完好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16）承包人应协调处理扰民与</w:t>
      </w:r>
      <w:r>
        <w:rPr>
          <w:rFonts w:hint="eastAsia" w:ascii="仿宋" w:hAnsi="仿宋" w:eastAsia="仿宋" w:cs="仿宋"/>
          <w:color w:val="auto"/>
          <w:sz w:val="24"/>
          <w:szCs w:val="24"/>
          <w:highlight w:val="none"/>
          <w:u w:val="single"/>
          <w:lang w:eastAsia="zh-CN"/>
        </w:rPr>
        <w:t xml:space="preserve">扰民</w:t>
      </w:r>
      <w:r>
        <w:rPr>
          <w:rFonts w:hint="eastAsia" w:ascii="仿宋" w:hAnsi="仿宋" w:eastAsia="仿宋" w:cs="仿宋"/>
          <w:color w:val="auto"/>
          <w:sz w:val="24"/>
          <w:szCs w:val="24"/>
          <w:highlight w:val="none"/>
          <w:u w:val="single"/>
        </w:rPr>
        <w:t xml:space="preserve">问题，非发包人原因引发的一切纠纷由承包人自行解决，发包人不承担任何责任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18）现场项目部环境和职业健康安全管理制度</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《环境因素辨识清单》和《危险源辨识清单》应报监理部备案。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针对识别出的重大环境因素和重大危险源，承包人须编制管理方案，报发包人、监理 单位批准后实施。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承包人须识别出本工程在环境和职业健康安全方面的应急事件，针对应急事件编制 《应急预案》，组织应急演习。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4"/>
          <w:szCs w:val="24"/>
          <w:highlight w:val="none"/>
          <w:u w:val="single"/>
          <w:lang w:eastAsia="zh-CN"/>
        </w:rPr>
        <w:t xml:space="preserve">含农</w:t>
      </w:r>
      <w:r>
        <w:rPr>
          <w:rFonts w:hint="eastAsia" w:ascii="仿宋" w:hAnsi="仿宋" w:eastAsia="仿宋" w:cs="仿宋"/>
          <w:color w:val="auto"/>
          <w:sz w:val="24"/>
          <w:szCs w:val="24"/>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承包人应积极主动核对图纸中的路面标高、坐标、宽度、厚度、坡度、尺寸等技术数据，充分理解设计意图，积极配合发包人组织的施工图纸交底及会审工作，指</w:t>
      </w:r>
      <w:r>
        <w:rPr>
          <w:rFonts w:hint="eastAsia" w:ascii="仿宋" w:hAnsi="仿宋" w:eastAsia="仿宋" w:cs="仿宋"/>
          <w:color w:val="auto"/>
          <w:sz w:val="24"/>
          <w:szCs w:val="24"/>
          <w:highlight w:val="none"/>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5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在履行合同过程中，承包人应执行国家和地方的法律法</w:t>
      </w:r>
      <w:r>
        <w:rPr>
          <w:rFonts w:hint="eastAsia" w:ascii="仿宋" w:hAnsi="仿宋" w:eastAsia="仿宋" w:cs="仿宋"/>
          <w:color w:val="auto"/>
          <w:sz w:val="24"/>
          <w:szCs w:val="24"/>
          <w:highlight w:val="none"/>
          <w:u w:val="single"/>
          <w:lang w:eastAsia="zh-CN"/>
        </w:rPr>
        <w:t xml:space="preserve">规和</w:t>
      </w:r>
      <w:r>
        <w:rPr>
          <w:rFonts w:hint="eastAsia" w:ascii="仿宋" w:hAnsi="仿宋" w:eastAsia="仿宋" w:cs="仿宋"/>
          <w:color w:val="auto"/>
          <w:sz w:val="24"/>
          <w:szCs w:val="24"/>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不少于 22 天</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每发现一次</w:t>
      </w:r>
      <w:r>
        <w:rPr>
          <w:rFonts w:hint="eastAsia" w:ascii="仿宋" w:hAnsi="仿宋" w:eastAsia="仿宋" w:cs="仿宋"/>
          <w:color w:val="auto"/>
          <w:sz w:val="24"/>
          <w:szCs w:val="24"/>
          <w:highlight w:val="none"/>
          <w:u w:val="single"/>
          <w:lang w:eastAsia="zh-CN"/>
        </w:rPr>
        <w:t xml:space="preserve">罚</w:t>
      </w:r>
      <w:r>
        <w:rPr>
          <w:rFonts w:hint="eastAsia" w:ascii="仿宋" w:hAnsi="仿宋" w:eastAsia="仿宋" w:cs="仿宋"/>
          <w:color w:val="auto"/>
          <w:sz w:val="24"/>
          <w:szCs w:val="24"/>
          <w:highlight w:val="none"/>
          <w:u w:val="single"/>
        </w:rPr>
        <w:t xml:space="preserve">中标价的 1%（以三次为限），直至解除合同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罚中标价 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中标价10%直至解除合同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承包人无正当理由拒绝撤换主要施工管理人员的违约责任：</w:t>
      </w:r>
      <w:r>
        <w:rPr>
          <w:rFonts w:hint="eastAsia" w:ascii="仿宋" w:hAnsi="仿宋" w:eastAsia="仿宋" w:cs="仿宋"/>
          <w:color w:val="auto"/>
          <w:sz w:val="24"/>
          <w:szCs w:val="24"/>
          <w:highlight w:val="none"/>
          <w:u w:val="single"/>
        </w:rPr>
        <w:t xml:space="preserve">承包人拒绝更换的，发包人有权解除合同，追究由此带来的发包人一切损失，且承包人应承担合同价千分之二/人•次的违约金</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承包人主要施工管理人员离开施工现场的批准要求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承包人擅自更换主要施工管理人员的违约责任： </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6" w:name="_Toc296503159"/>
      <w:r/>
      <w:bookmarkStart w:id="107" w:name="_Toc303539102"/>
      <w:r/>
      <w:bookmarkStart w:id="108" w:name="_Toc296890987"/>
      <w:r/>
      <w:bookmarkStart w:id="109" w:name="_Toc292559364"/>
      <w:r/>
      <w:bookmarkStart w:id="110" w:name="_Toc296346660"/>
      <w:r/>
      <w:bookmarkStart w:id="111" w:name="_Toc300934945"/>
      <w:r/>
      <w:bookmarkStart w:id="112" w:name="_Toc296944498"/>
      <w:r/>
      <w:bookmarkStart w:id="113" w:name="_Toc297123492"/>
      <w:r/>
      <w:bookmarkStart w:id="114" w:name="_Toc297048345"/>
      <w:r/>
      <w:bookmarkStart w:id="115" w:name="_Toc296891199"/>
      <w:r/>
      <w:bookmarkStart w:id="116" w:name="_Toc292559869"/>
      <w:r/>
      <w:bookmarkStart w:id="117" w:name="_Toc297120459"/>
      <w:r/>
      <w:bookmarkStart w:id="118" w:name="_Toc304295523"/>
      <w:r/>
      <w:bookmarkStart w:id="119" w:name="_Toc312677988"/>
      <w:r/>
      <w:bookmarkStart w:id="120" w:name="_Toc297216151"/>
      <w:r/>
      <w:bookmarkStart w:id="121" w:name="_Toc296347158"/>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分包</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22" w:name="_Toc304295524"/>
      <w:r/>
      <w:bookmarkStart w:id="123" w:name="_Toc297048346"/>
      <w:r/>
      <w:bookmarkStart w:id="124" w:name="_Toc297120460"/>
      <w:r/>
      <w:bookmarkStart w:id="125" w:name="_Toc296503160"/>
      <w:r/>
      <w:bookmarkStart w:id="126" w:name="_Toc300934946"/>
      <w:r/>
      <w:bookmarkStart w:id="127" w:name="_Toc296891200"/>
      <w:r/>
      <w:bookmarkStart w:id="128" w:name="_Toc292559365"/>
      <w:r/>
      <w:bookmarkStart w:id="129" w:name="_Toc303539103"/>
      <w:r/>
      <w:bookmarkStart w:id="130" w:name="_Toc296346661"/>
      <w:r/>
      <w:bookmarkStart w:id="131" w:name="_Toc312677989"/>
      <w:r/>
      <w:bookmarkStart w:id="132" w:name="_Toc297123493"/>
      <w:r/>
      <w:bookmarkStart w:id="133" w:name="_Toc296890988"/>
      <w:r/>
      <w:bookmarkStart w:id="134" w:name="_Toc297216152"/>
      <w:r/>
      <w:bookmarkStart w:id="135" w:name="_Toc296944499"/>
      <w:r/>
      <w:bookmarkStart w:id="136" w:name="_Toc318581158"/>
      <w:r/>
      <w:bookmarkStart w:id="137" w:name="_Toc292559870"/>
      <w:r/>
      <w:bookmarkStart w:id="138" w:name="_Toc29634715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分包的一般约定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Start w:id="139" w:name="_Toc300934947"/>
      <w:r/>
      <w:bookmarkEnd w:id="139"/>
      <w:r/>
      <w:bookmarkStart w:id="140" w:name="_Toc303539104"/>
      <w:r/>
      <w:bookmarkEnd w:id="140"/>
      <w:r/>
      <w:bookmarkStart w:id="141" w:name="_Toc297123494"/>
      <w:r/>
      <w:bookmarkEnd w:id="141"/>
      <w:r/>
      <w:bookmarkStart w:id="142" w:name="_Toc296944500"/>
      <w:r/>
      <w:bookmarkEnd w:id="142"/>
      <w:r/>
      <w:bookmarkStart w:id="143" w:name="_Toc296347160"/>
      <w:r/>
      <w:bookmarkEnd w:id="143"/>
      <w:r/>
      <w:bookmarkStart w:id="144" w:name="_Toc296346662"/>
      <w:r/>
      <w:bookmarkEnd w:id="144"/>
      <w:r/>
      <w:bookmarkStart w:id="145" w:name="_Toc297216153"/>
      <w:r/>
      <w:bookmarkEnd w:id="145"/>
      <w:r/>
      <w:bookmarkStart w:id="146" w:name="_Toc297120461"/>
      <w:r/>
      <w:bookmarkEnd w:id="146"/>
      <w:r/>
      <w:bookmarkStart w:id="147" w:name="_Toc297048347"/>
      <w:r/>
      <w:bookmarkEnd w:id="147"/>
      <w:r/>
      <w:bookmarkStart w:id="148" w:name="_Toc296890989"/>
      <w:r/>
      <w:bookmarkEnd w:id="148"/>
      <w:r/>
      <w:bookmarkStart w:id="149" w:name="_Toc296891201"/>
      <w:r/>
      <w:bookmarkEnd w:id="149"/>
      <w:r/>
      <w:bookmarkStart w:id="150" w:name="_Toc304295525"/>
      <w:r/>
      <w:bookmarkEnd w:id="150"/>
      <w:r/>
      <w:bookmarkStart w:id="151" w:name="_Toc296503161"/>
      <w:r/>
      <w:bookmarkEnd w:id="15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52" w:name="_Toc312677990"/>
      <w:r/>
      <w:bookmarkStart w:id="153" w:name="_Toc31858115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.2分包的确定</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分包合同价款</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52"/>
      <w:r/>
      <w:bookmarkEnd w:id="15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工程照管与成品、半成品保护</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以合同签订日期与承包人进场日期先到者为起始时间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履约担保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提供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w:t>
      </w:r>
      <w:r>
        <w:rPr>
          <w:rFonts w:hint="eastAsia" w:ascii="仿宋" w:hAnsi="仿宋" w:eastAsia="仿宋" w:cs="仿宋"/>
          <w:color w:val="auto"/>
          <w:sz w:val="24"/>
          <w:szCs w:val="24"/>
          <w:highlight w:val="none"/>
          <w:lang w:eastAsia="zh-CN"/>
        </w:rPr>
        <w:t xml:space="preserve">期限</w:t>
      </w:r>
      <w:r>
        <w:rPr>
          <w:rFonts w:hint="eastAsia" w:ascii="仿宋" w:hAnsi="仿宋" w:eastAsia="仿宋" w:cs="仿宋"/>
          <w:color w:val="auto"/>
          <w:sz w:val="24"/>
          <w:szCs w:val="24"/>
          <w:highlight w:val="none"/>
        </w:rPr>
        <w:t xml:space="preserve">：</w:t>
      </w:r>
      <w:bookmarkStart w:id="154" w:name="_Toc351203636"/>
      <w:r/>
      <w:r/>
    </w:p>
    <w:p>
      <w:pPr>
        <w:ind w:left="0" w:firstLine="48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①合同签订前</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val="en-US" w:eastAsia="zh-CN"/>
        </w:rPr>
        <w:t xml:space="preserve">向甲方缴纳合同价的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承包人提供的履约保证金可以是人民币形式（银行本票、汇票、支票、电汇），或银行保函、担保公司的保证担保或保险公司的保证保险等多种形式。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承包人选取银行保函、担保公司的保证担保或保险公司的保证保险等形式的向采购人缴纳的，如保函（担保、保险等）的约定期到期但承包人履约仍未结束的，承包人须进行续保。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承包人选取以履约保函（保险）形式向</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如</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未能履行合同规定的义务，</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人有权从履约保证金中取得补偿。</w:t>
      </w:r>
      <w:r/>
    </w:p>
    <w:p>
      <w:pPr>
        <w:ind w:left="0" w:firstLine="48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rPr>
        <w:t xml:space="preserve">履约保证金在合同约定期间内不予退还或者应完全有效，约定期间届满之日起 5个工作日内，</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人应将履约保证金退还</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⑦履约保证金在合同约定期间内不予退还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left="0" w:firstLine="482"/>
        <w:pageBreakBefore w:val="0"/>
        <w:spacing w:line="38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w:t>
      </w:r>
      <w:bookmarkStart w:id="155" w:name="_Toc296347161"/>
      <w:r/>
      <w:bookmarkStart w:id="156" w:name="_Toc292559871"/>
      <w:r/>
      <w:bookmarkStart w:id="157" w:name="_Toc267251413"/>
      <w:r/>
      <w:bookmarkStart w:id="158" w:name="_Toc297048348"/>
      <w:r/>
      <w:bookmarkStart w:id="159" w:name="_Toc296891202"/>
      <w:r/>
      <w:bookmarkStart w:id="160" w:name="_Toc296346663"/>
      <w:r/>
      <w:bookmarkStart w:id="161" w:name="_Toc296503162"/>
      <w:r/>
      <w:bookmarkStart w:id="162" w:name="_Toc296890990"/>
      <w:r/>
      <w:bookmarkStart w:id="163" w:name="_Toc297120462"/>
      <w:r/>
      <w:bookmarkStart w:id="164" w:name="_Toc296944501"/>
      <w:r/>
      <w:bookmarkStart w:id="165" w:name="_Toc292559366"/>
      <w:r>
        <w:rPr>
          <w:rFonts w:hint="eastAsia" w:ascii="仿宋" w:hAnsi="仿宋" w:eastAsia="仿宋" w:cs="仿宋"/>
          <w:b/>
          <w:bCs/>
          <w:color w:val="auto"/>
          <w:sz w:val="24"/>
          <w:szCs w:val="24"/>
          <w:highlight w:val="none"/>
          <w:lang w:eastAsia="zh-CN"/>
        </w:rPr>
        <w:t xml:space="preserve">. 监</w:t>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仿宋" w:hAnsi="仿宋" w:eastAsia="仿宋" w:cs="仿宋"/>
          <w:b/>
          <w:bCs/>
          <w:color w:val="auto"/>
          <w:sz w:val="24"/>
          <w:szCs w:val="24"/>
          <w:highlight w:val="none"/>
          <w:lang w:eastAsia="zh-CN"/>
        </w:rPr>
        <w:t xml:space="preserve">理人</w:t>
      </w:r>
      <w:bookmarkEnd w:id="15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商定或确定</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166"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67" w:name="_Toc351203637"/>
      <w:r>
        <w:rPr>
          <w:rFonts w:hint="eastAsia" w:ascii="仿宋" w:hAnsi="仿宋" w:eastAsia="仿宋" w:cs="仿宋"/>
          <w:color w:val="auto"/>
          <w:sz w:val="24"/>
          <w:szCs w:val="24"/>
          <w:highlight w:val="none"/>
          <w:lang w:eastAsia="zh-CN"/>
        </w:rPr>
        <w:t xml:space="preserve">5</w:t>
      </w:r>
      <w:bookmarkEnd w:id="166"/>
      <w:r/>
      <w:bookmarkStart w:id="168" w:name="_Toc297048349"/>
      <w:r/>
      <w:bookmarkStart w:id="169" w:name="_Toc292559872"/>
      <w:r/>
      <w:bookmarkStart w:id="170" w:name="_Toc297120463"/>
      <w:r/>
      <w:bookmarkStart w:id="171" w:name="_Toc292559367"/>
      <w:r/>
      <w:bookmarkStart w:id="172" w:name="_Toc296347162"/>
      <w:r/>
      <w:bookmarkStart w:id="173" w:name="_Toc296891203"/>
      <w:r/>
      <w:bookmarkStart w:id="174" w:name="_Toc296503163"/>
      <w:r/>
      <w:bookmarkStart w:id="175" w:name="_Toc296890991"/>
      <w:r/>
      <w:bookmarkStart w:id="176" w:name="_Toc296944502"/>
      <w:r/>
      <w:bookmarkStart w:id="177" w:name="_Toc296346664"/>
      <w:r>
        <w:rPr>
          <w:rFonts w:hint="eastAsia" w:ascii="仿宋" w:hAnsi="仿宋" w:eastAsia="仿宋" w:cs="仿宋"/>
          <w:color w:val="auto"/>
          <w:sz w:val="24"/>
          <w:szCs w:val="24"/>
          <w:highlight w:val="none"/>
          <w:lang w:eastAsia="zh-CN"/>
        </w:rPr>
        <w:t xml:space="preserve">. 工程质量</w:t>
      </w:r>
      <w:bookmarkEnd w:id="1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5.1 质量要求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bookmarkStart w:id="178" w:name="_Toc300934949"/>
      <w:r/>
      <w:bookmarkStart w:id="179" w:name="_Toc304295527"/>
      <w:r/>
      <w:bookmarkStart w:id="180" w:name="_Toc297123496"/>
      <w:r/>
      <w:bookmarkStart w:id="181" w:name="_Toc318581164"/>
      <w:r/>
      <w:bookmarkStart w:id="182" w:name="_Toc303539106"/>
      <w:r/>
      <w:bookmarkStart w:id="183" w:name="_Toc297216155"/>
      <w:r/>
      <w:bookmarkStart w:id="184" w:name="_Toc312677997"/>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满足相关部门的验收标准</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隐蔽工程检查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.2承包人提前通知监理人隐蔽工程检查的期限的约定：</w:t>
      </w:r>
      <w:r>
        <w:rPr>
          <w:rFonts w:hint="eastAsia" w:ascii="仿宋" w:hAnsi="仿宋" w:eastAsia="仿宋" w:cs="仿宋"/>
          <w:color w:val="auto"/>
          <w:sz w:val="24"/>
          <w:szCs w:val="24"/>
          <w:highlight w:val="none"/>
          <w:u w:val="single"/>
        </w:rPr>
        <w:t xml:space="preserve"> 承包人应在检查前48小时以书面形式通知监理人检查</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5" w:name="_Toc351203638"/>
      <w:r>
        <w:rPr>
          <w:rFonts w:hint="eastAsia" w:ascii="仿宋" w:hAnsi="仿宋" w:eastAsia="仿宋" w:cs="仿宋"/>
          <w:color w:val="auto"/>
          <w:sz w:val="24"/>
          <w:szCs w:val="24"/>
          <w:highlight w:val="none"/>
          <w:lang w:eastAsia="zh-CN"/>
        </w:rPr>
        <w:t xml:space="preserve">6. 安全文明施工与环境保护</w:t>
      </w:r>
      <w:bookmarkEnd w:id="18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关于治安保卫的特别约定：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文明施工</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4"/>
          <w:szCs w:val="24"/>
          <w:highlight w:val="none"/>
          <w:u w:val="single"/>
          <w:lang w:eastAsia="zh-CN"/>
        </w:rPr>
        <w:t xml:space="preserve">工</w:t>
      </w:r>
      <w:r>
        <w:rPr>
          <w:rFonts w:hint="eastAsia" w:ascii="仿宋" w:hAnsi="仿宋" w:eastAsia="仿宋" w:cs="仿宋"/>
          <w:color w:val="auto"/>
          <w:sz w:val="24"/>
          <w:szCs w:val="24"/>
          <w:highlight w:val="none"/>
          <w:u w:val="single"/>
        </w:rPr>
        <w:t xml:space="preserve">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4"/>
          <w:szCs w:val="24"/>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4"/>
          <w:szCs w:val="24"/>
          <w:highlight w:val="none"/>
          <w:u w:val="single"/>
          <w:lang w:eastAsia="zh-CN"/>
        </w:rPr>
        <w:t xml:space="preserve">及其他</w:t>
      </w:r>
      <w:r>
        <w:rPr>
          <w:rFonts w:hint="eastAsia" w:ascii="仿宋" w:hAnsi="仿宋" w:eastAsia="仿宋" w:cs="仿宋"/>
          <w:color w:val="auto"/>
          <w:sz w:val="24"/>
          <w:szCs w:val="24"/>
          <w:highlight w:val="none"/>
          <w:u w:val="single"/>
        </w:rPr>
        <w:t xml:space="preserve">设施等破坏修复费用及管网移</w:t>
      </w:r>
      <w:r>
        <w:rPr>
          <w:rFonts w:hint="eastAsia" w:ascii="仿宋" w:hAnsi="仿宋" w:eastAsia="仿宋" w:cs="仿宋"/>
          <w:color w:val="auto"/>
          <w:sz w:val="24"/>
          <w:szCs w:val="24"/>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关于安全文明施工费支付比例和支付期限的约定：</w:t>
      </w:r>
      <w:r>
        <w:rPr>
          <w:rFonts w:hint="eastAsia" w:ascii="仿宋" w:hAnsi="仿宋" w:eastAsia="仿宋" w:cs="仿宋"/>
          <w:color w:val="auto"/>
          <w:sz w:val="24"/>
          <w:szCs w:val="24"/>
          <w:highlight w:val="none"/>
          <w:u w:val="single"/>
        </w:rPr>
        <w:t xml:space="preserve">  按专用合同条款第12.4.1项〔付款周期〕的约定予以支付  </w:t>
      </w:r>
      <w:r>
        <w:rPr>
          <w:rFonts w:hint="eastAsia" w:ascii="仿宋" w:hAnsi="仿宋" w:eastAsia="仿宋" w:cs="仿宋"/>
          <w:color w:val="auto"/>
          <w:sz w:val="24"/>
          <w:szCs w:val="24"/>
          <w:highlight w:val="none"/>
        </w:rPr>
        <w:t xml:space="preserve">。</w:t>
      </w:r>
      <w:bookmarkEnd w:id="178"/>
      <w:r/>
      <w:bookmarkEnd w:id="179"/>
      <w:r/>
      <w:bookmarkEnd w:id="180"/>
      <w:r/>
      <w:bookmarkEnd w:id="181"/>
      <w:r/>
      <w:bookmarkEnd w:id="182"/>
      <w:r/>
      <w:bookmarkEnd w:id="183"/>
      <w:r/>
      <w:bookmarkEnd w:id="184"/>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6" w:name="_Toc351203639"/>
      <w:r>
        <w:rPr>
          <w:rFonts w:hint="eastAsia" w:ascii="仿宋" w:hAnsi="仿宋" w:eastAsia="仿宋" w:cs="仿宋"/>
          <w:color w:val="auto"/>
          <w:sz w:val="24"/>
          <w:szCs w:val="24"/>
          <w:highlight w:val="none"/>
          <w:lang w:eastAsia="zh-CN"/>
        </w:rPr>
        <w:t xml:space="preserve">7. 工期和进度</w:t>
      </w:r>
      <w:bookmarkEnd w:id="18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7" w:name="_Toc297123514"/>
      <w:r/>
      <w:bookmarkStart w:id="188" w:name="_Toc312678005"/>
      <w:r/>
      <w:bookmarkStart w:id="189" w:name="_Toc297216173"/>
      <w:r/>
      <w:bookmarkStart w:id="190" w:name="_Toc312677479"/>
      <w:r/>
      <w:bookmarkStart w:id="191" w:name="_Toc304295541"/>
      <w:r/>
      <w:bookmarkStart w:id="192" w:name="_Toc300934966"/>
      <w:r/>
      <w:bookmarkStart w:id="193" w:name="_Toc303539123"/>
      <w:r>
        <w:rPr>
          <w:rFonts w:hint="eastAsia" w:ascii="仿宋" w:hAnsi="仿宋" w:eastAsia="仿宋" w:cs="仿宋"/>
          <w:color w:val="auto"/>
          <w:sz w:val="24"/>
          <w:szCs w:val="24"/>
          <w:highlight w:val="none"/>
        </w:rPr>
        <w:t xml:space="preserve">.2 施工进度计划</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施工进度计划的修订</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lang w:val="en-US" w:eastAsia="zh-CN"/>
        </w:rPr>
        <w:t xml:space="preserve">180</w:t>
      </w:r>
      <w:r>
        <w:rPr>
          <w:rFonts w:hint="eastAsia" w:ascii="仿宋" w:hAnsi="仿宋" w:eastAsia="仿宋" w:cs="仿宋"/>
          <w:color w:val="auto"/>
          <w:sz w:val="24"/>
          <w:szCs w:val="24"/>
          <w:highlight w:val="none"/>
        </w:rPr>
        <w:t xml:space="preserve">天内发出开工通知的，承包人有权提出价格调整要求，或者解除合同。</w:t>
      </w:r>
      <w:bookmarkEnd w:id="187"/>
      <w:r/>
      <w:bookmarkEnd w:id="188"/>
      <w:r/>
      <w:bookmarkEnd w:id="189"/>
      <w:r/>
      <w:bookmarkEnd w:id="190"/>
      <w:r/>
      <w:bookmarkEnd w:id="191"/>
      <w:r/>
      <w:bookmarkEnd w:id="192"/>
      <w:r/>
      <w:bookmarkEnd w:id="19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4" w:name="_Toc303539125"/>
      <w:r/>
      <w:bookmarkStart w:id="195" w:name="_Toc304295546"/>
      <w:r/>
      <w:bookmarkStart w:id="196" w:name="_Toc297216175"/>
      <w:r/>
      <w:bookmarkStart w:id="197" w:name="_Toc300934968"/>
      <w:r/>
      <w:bookmarkStart w:id="198" w:name="_Toc312677484"/>
      <w:r/>
      <w:bookmarkStart w:id="199" w:name="_Toc312678010"/>
      <w:r/>
      <w:bookmarkStart w:id="200" w:name="_Toc297123516"/>
      <w:r>
        <w:rPr>
          <w:rFonts w:hint="eastAsia" w:ascii="仿宋" w:hAnsi="仿宋" w:eastAsia="仿宋" w:cs="仿宋"/>
          <w:color w:val="auto"/>
          <w:sz w:val="24"/>
          <w:szCs w:val="24"/>
          <w:highlight w:val="none"/>
        </w:rPr>
        <w:t xml:space="preserve">.5 工期延误</w:t>
      </w:r>
      <w:bookmarkEnd w:id="194"/>
      <w:r/>
      <w:bookmarkEnd w:id="195"/>
      <w:r/>
      <w:bookmarkEnd w:id="196"/>
      <w:r/>
      <w:bookmarkEnd w:id="197"/>
      <w:r/>
      <w:bookmarkEnd w:id="198"/>
      <w:r/>
      <w:bookmarkEnd w:id="199"/>
      <w:r/>
      <w:bookmarkEnd w:id="20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1" w:name="_Toc312678012"/>
      <w:r/>
      <w:bookmarkStart w:id="202" w:name="_Toc312677486"/>
      <w:r/>
      <w:bookmarkStart w:id="203" w:name="_Toc318581169"/>
      <w:r/>
      <w:bookmarkStart w:id="204" w:name="_Toc303539127"/>
      <w:r/>
      <w:bookmarkStart w:id="205" w:name="_Toc297216177"/>
      <w:r/>
      <w:bookmarkStart w:id="206" w:name="_Toc304295548"/>
      <w:r/>
      <w:bookmarkStart w:id="207" w:name="_Toc300934970"/>
      <w:r/>
      <w:bookmarkStart w:id="208" w:name="_Toc297123518"/>
      <w:r>
        <w:rPr>
          <w:rFonts w:hint="eastAsia" w:ascii="仿宋" w:hAnsi="仿宋" w:eastAsia="仿宋" w:cs="仿宋"/>
          <w:color w:val="auto"/>
          <w:sz w:val="24"/>
          <w:szCs w:val="24"/>
          <w:highlight w:val="none"/>
        </w:rPr>
        <w:t xml:space="preserve">.5.2 因承包人原因导致工期延误</w:t>
      </w:r>
      <w:bookmarkEnd w:id="201"/>
      <w:r/>
      <w:bookmarkEnd w:id="202"/>
      <w:r/>
      <w:bookmarkEnd w:id="20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09" w:name="_Toc312677487"/>
      <w:r/>
      <w:bookmarkStart w:id="210" w:name="_Toc318581170"/>
      <w:r/>
      <w:bookmarkStart w:id="211" w:name="_Toc312678013"/>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承包人向发包人支付2000元/天的违约金 </w:t>
      </w:r>
      <w:r>
        <w:rPr>
          <w:rFonts w:hint="eastAsia" w:ascii="仿宋" w:hAnsi="仿宋" w:eastAsia="仿宋" w:cs="仿宋"/>
          <w:color w:val="auto"/>
          <w:sz w:val="24"/>
          <w:szCs w:val="24"/>
          <w:highlight w:val="none"/>
        </w:rPr>
        <w:t xml:space="preserve">。</w:t>
      </w:r>
      <w:bookmarkEnd w:id="204"/>
      <w:r/>
      <w:bookmarkEnd w:id="205"/>
      <w:r/>
      <w:bookmarkEnd w:id="206"/>
      <w:r/>
      <w:bookmarkEnd w:id="207"/>
      <w:r/>
      <w:bookmarkEnd w:id="208"/>
      <w:r/>
      <w:bookmarkEnd w:id="209"/>
      <w:r/>
      <w:bookmarkEnd w:id="210"/>
      <w:r/>
      <w:bookmarkEnd w:id="21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w:t>
      </w:r>
      <w:bookmarkStart w:id="212" w:name="_Toc318581171"/>
      <w:r/>
      <w:bookmarkStart w:id="213"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lang w:val="en-US" w:eastAsia="zh-CN"/>
        </w:rPr>
        <w:t xml:space="preserve">合同总价20%的违约金</w:t>
      </w:r>
      <w:r>
        <w:rPr>
          <w:rFonts w:hint="eastAsia" w:ascii="仿宋" w:hAnsi="仿宋" w:eastAsia="仿宋" w:cs="仿宋"/>
          <w:color w:val="auto"/>
          <w:sz w:val="24"/>
          <w:szCs w:val="24"/>
          <w:highlight w:val="none"/>
        </w:rPr>
        <w:t xml:space="preserve">。</w:t>
      </w:r>
      <w:bookmarkEnd w:id="212"/>
      <w:r/>
      <w:bookmarkEnd w:id="21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14" w:name="_Toc297216178"/>
      <w:r/>
      <w:bookmarkStart w:id="215" w:name="_Toc312678015"/>
      <w:r/>
      <w:bookmarkStart w:id="216" w:name="_Toc300934971"/>
      <w:r/>
      <w:bookmarkStart w:id="217" w:name="_Toc304295549"/>
      <w:r/>
      <w:bookmarkStart w:id="218" w:name="_Toc297123519"/>
      <w:r/>
      <w:bookmarkStart w:id="219" w:name="_Toc303539128"/>
      <w:r>
        <w:rPr>
          <w:rFonts w:hint="eastAsia" w:ascii="仿宋" w:hAnsi="仿宋" w:eastAsia="仿宋" w:cs="仿宋"/>
          <w:color w:val="auto"/>
          <w:sz w:val="24"/>
          <w:szCs w:val="24"/>
          <w:highlight w:val="none"/>
        </w:rPr>
        <w:t xml:space="preserve">.6 不</w:t>
      </w:r>
      <w:bookmarkEnd w:id="214"/>
      <w:r/>
      <w:bookmarkEnd w:id="215"/>
      <w:r/>
      <w:bookmarkEnd w:id="216"/>
      <w:r/>
      <w:bookmarkEnd w:id="217"/>
      <w:r/>
      <w:bookmarkEnd w:id="218"/>
      <w:r/>
      <w:bookmarkEnd w:id="219"/>
      <w:r>
        <w:rPr>
          <w:rFonts w:hint="eastAsia" w:ascii="仿宋" w:hAnsi="仿宋" w:eastAsia="仿宋" w:cs="仿宋"/>
          <w:color w:val="auto"/>
          <w:sz w:val="24"/>
          <w:szCs w:val="24"/>
          <w:highlight w:val="none"/>
        </w:rPr>
        <w:t xml:space="preserve">利物质条件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220" w:name="_Toc297216179"/>
      <w:r/>
      <w:bookmarkStart w:id="221" w:name="_Toc297123520"/>
      <w:r/>
      <w:bookmarkStart w:id="222" w:name="_Toc300934972"/>
      <w:r/>
      <w:bookmarkStart w:id="223" w:name="_Toc318581172"/>
      <w:r/>
      <w:bookmarkStart w:id="224" w:name="_Toc304295550"/>
      <w:r/>
      <w:bookmarkStart w:id="225" w:name="_Toc312678016"/>
      <w:r/>
      <w:bookmarkStart w:id="226" w:name="_Toc30353912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lang w:eastAsia="zh-CN"/>
        </w:rPr>
        <w:t xml:space="preserve">：</w:t>
      </w:r>
      <w:bookmarkEnd w:id="220"/>
      <w:r/>
      <w:bookmarkEnd w:id="221"/>
      <w:r/>
      <w:bookmarkEnd w:id="222"/>
      <w:r/>
      <w:bookmarkEnd w:id="223"/>
      <w:r/>
      <w:bookmarkEnd w:id="224"/>
      <w:r/>
      <w:bookmarkEnd w:id="225"/>
      <w:r/>
      <w:bookmarkEnd w:id="2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27" w:name="_Toc297216180"/>
      <w:r/>
      <w:bookmarkStart w:id="228" w:name="_Toc312678017"/>
      <w:r/>
      <w:bookmarkStart w:id="229" w:name="_Toc303539130"/>
      <w:r/>
      <w:bookmarkStart w:id="230" w:name="_Toc304295551"/>
      <w:r/>
      <w:bookmarkStart w:id="231" w:name="_Toc300934973"/>
      <w:r/>
      <w:bookmarkStart w:id="232" w:name="_Toc297123521"/>
      <w:r>
        <w:rPr>
          <w:rFonts w:hint="eastAsia" w:ascii="仿宋" w:hAnsi="仿宋" w:eastAsia="仿宋" w:cs="仿宋"/>
          <w:color w:val="auto"/>
          <w:sz w:val="24"/>
          <w:szCs w:val="24"/>
          <w:highlight w:val="none"/>
        </w:rPr>
        <w:t xml:space="preserve">.7异常恶劣的气候条件</w:t>
      </w:r>
      <w:bookmarkEnd w:id="227"/>
      <w:r/>
      <w:bookmarkEnd w:id="228"/>
      <w:r/>
      <w:bookmarkEnd w:id="229"/>
      <w:r/>
      <w:bookmarkEnd w:id="230"/>
      <w:r/>
      <w:bookmarkEnd w:id="231"/>
      <w:r/>
      <w:bookmarkEnd w:id="23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3" w:name="_Toc25312"/>
      <w:r/>
      <w:bookmarkStart w:id="234" w:name="_Toc20730"/>
      <w:r>
        <w:rPr>
          <w:rFonts w:hint="eastAsia" w:ascii="仿宋" w:hAnsi="仿宋" w:eastAsia="仿宋" w:cs="仿宋"/>
          <w:color w:val="auto"/>
          <w:sz w:val="24"/>
          <w:szCs w:val="24"/>
          <w:highlight w:val="none"/>
          <w:u w:val="single"/>
          <w:lang w:val="en-US" w:eastAsia="zh-CN"/>
        </w:rPr>
        <w:t xml:space="preserve">（1）日降雨量大于100㎜的雨日超过3天；</w:t>
      </w:r>
      <w:bookmarkEnd w:id="233"/>
      <w:r/>
      <w:bookmarkEnd w:id="23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5" w:name="_Toc14181"/>
      <w:r/>
      <w:bookmarkStart w:id="236" w:name="_Toc22806"/>
      <w:r>
        <w:rPr>
          <w:rFonts w:hint="eastAsia" w:ascii="仿宋" w:hAnsi="仿宋" w:eastAsia="仿宋" w:cs="仿宋"/>
          <w:color w:val="auto"/>
          <w:sz w:val="24"/>
          <w:szCs w:val="24"/>
          <w:highlight w:val="none"/>
          <w:u w:val="single"/>
          <w:lang w:val="en-US" w:eastAsia="zh-CN"/>
        </w:rPr>
        <w:t xml:space="preserve">（2）风速大于17.2m/s的8级以上台风灾害；</w:t>
      </w:r>
      <w:bookmarkEnd w:id="235"/>
      <w:r/>
      <w:bookmarkEnd w:id="236"/>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7" w:name="_Toc9464"/>
      <w:r/>
      <w:bookmarkStart w:id="238" w:name="_Toc2784"/>
      <w:r>
        <w:rPr>
          <w:rFonts w:hint="eastAsia" w:ascii="仿宋" w:hAnsi="仿宋" w:eastAsia="仿宋" w:cs="仿宋"/>
          <w:color w:val="auto"/>
          <w:sz w:val="24"/>
          <w:szCs w:val="24"/>
          <w:highlight w:val="none"/>
          <w:u w:val="single"/>
          <w:lang w:val="en-US" w:eastAsia="zh-CN"/>
        </w:rPr>
        <w:t xml:space="preserve">（3）日气温超过37℃的高温大于3天或日气温超过35℃的高温连续5天及以上；</w:t>
      </w:r>
      <w:bookmarkEnd w:id="237"/>
      <w:r/>
      <w:bookmarkEnd w:id="238"/>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9" w:name="_Toc12653"/>
      <w:r/>
      <w:bookmarkStart w:id="240" w:name="_Toc14197"/>
      <w:r>
        <w:rPr>
          <w:rFonts w:hint="eastAsia" w:ascii="仿宋" w:hAnsi="仿宋" w:eastAsia="仿宋" w:cs="仿宋"/>
          <w:color w:val="auto"/>
          <w:sz w:val="24"/>
          <w:szCs w:val="24"/>
          <w:highlight w:val="none"/>
          <w:u w:val="single"/>
          <w:lang w:val="en-US" w:eastAsia="zh-CN"/>
        </w:rPr>
        <w:t xml:space="preserve">（4）日气温低于―10℃ 的大寒大于3天；</w:t>
      </w:r>
      <w:bookmarkEnd w:id="239"/>
      <w:r/>
      <w:bookmarkEnd w:id="240"/>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1" w:name="_Toc30033"/>
      <w:r/>
      <w:bookmarkStart w:id="242" w:name="_Toc24184"/>
      <w:r>
        <w:rPr>
          <w:rFonts w:hint="eastAsia" w:ascii="仿宋" w:hAnsi="仿宋" w:eastAsia="仿宋" w:cs="仿宋"/>
          <w:color w:val="auto"/>
          <w:sz w:val="24"/>
          <w:szCs w:val="24"/>
          <w:highlight w:val="none"/>
          <w:u w:val="single"/>
          <w:lang w:val="en-US" w:eastAsia="zh-CN"/>
        </w:rPr>
        <w:t xml:space="preserve">（5）造成工程损坏的冰雹和大雪灾害：日降雪量10㎜及以上；</w:t>
      </w:r>
      <w:bookmarkEnd w:id="241"/>
      <w:r/>
      <w:bookmarkEnd w:id="242"/>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3" w:name="_Toc14325"/>
      <w:r/>
      <w:bookmarkStart w:id="244" w:name="_Toc1784"/>
      <w:r>
        <w:rPr>
          <w:rFonts w:hint="eastAsia" w:ascii="仿宋" w:hAnsi="仿宋" w:eastAsia="仿宋" w:cs="仿宋"/>
          <w:color w:val="auto"/>
          <w:sz w:val="24"/>
          <w:szCs w:val="24"/>
          <w:highlight w:val="none"/>
          <w:u w:val="single"/>
          <w:lang w:val="en-US" w:eastAsia="zh-CN"/>
        </w:rPr>
        <w:t xml:space="preserve">（6）其他异常恶劣气候灾害 。</w:t>
      </w:r>
      <w:bookmarkEnd w:id="243"/>
      <w:r/>
      <w:bookmarkEnd w:id="24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5" w:name="_Toc11964"/>
      <w:r/>
      <w:bookmarkStart w:id="246" w:name="_Toc406"/>
      <w:r>
        <w:rPr>
          <w:rFonts w:hint="eastAsia" w:ascii="仿宋" w:hAnsi="仿宋" w:eastAsia="仿宋" w:cs="仿宋"/>
          <w:color w:val="auto"/>
          <w:sz w:val="24"/>
          <w:szCs w:val="24"/>
          <w:highlight w:val="none"/>
          <w:u w:val="single"/>
          <w:lang w:val="en-US" w:eastAsia="zh-CN"/>
        </w:rPr>
        <w:t xml:space="preserve">注：均以气象部门公布的为准。</w:t>
      </w:r>
      <w:bookmarkEnd w:id="245"/>
      <w:r/>
      <w:bookmarkEnd w:id="246"/>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 提前竣工的奖励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.2提前竣工的奖励：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47" w:name="_Toc351203640"/>
      <w:r>
        <w:rPr>
          <w:rFonts w:hint="eastAsia" w:ascii="仿宋" w:hAnsi="仿宋" w:eastAsia="仿宋" w:cs="仿宋"/>
          <w:color w:val="auto"/>
          <w:sz w:val="24"/>
          <w:szCs w:val="24"/>
          <w:highlight w:val="none"/>
          <w:lang w:eastAsia="zh-CN"/>
        </w:rPr>
        <w:t xml:space="preserve">8. 材料与设备</w:t>
      </w:r>
      <w:bookmarkEnd w:id="168"/>
      <w:r/>
      <w:bookmarkEnd w:id="169"/>
      <w:r/>
      <w:bookmarkEnd w:id="170"/>
      <w:r/>
      <w:bookmarkEnd w:id="171"/>
      <w:r/>
      <w:bookmarkEnd w:id="172"/>
      <w:r/>
      <w:bookmarkEnd w:id="173"/>
      <w:r/>
      <w:bookmarkEnd w:id="174"/>
      <w:r/>
      <w:bookmarkEnd w:id="175"/>
      <w:r/>
      <w:bookmarkEnd w:id="176"/>
      <w:r/>
      <w:bookmarkEnd w:id="177"/>
      <w:r/>
      <w:bookmarkEnd w:id="24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48" w:name="_Toc300934979"/>
      <w:r/>
      <w:bookmarkStart w:id="249" w:name="_Toc303539136"/>
      <w:r/>
      <w:bookmarkStart w:id="250" w:name="_Toc297120467"/>
      <w:r/>
      <w:bookmarkStart w:id="251" w:name="_Toc296944506"/>
      <w:r/>
      <w:bookmarkStart w:id="252" w:name="_Toc280868654"/>
      <w:r/>
      <w:bookmarkStart w:id="253" w:name="_Toc292559877"/>
      <w:r/>
      <w:bookmarkStart w:id="254" w:name="_Toc296346668"/>
      <w:r/>
      <w:bookmarkStart w:id="255" w:name="_Toc296891207"/>
      <w:r/>
      <w:bookmarkStart w:id="256" w:name="_Toc312677493"/>
      <w:r/>
      <w:bookmarkStart w:id="257" w:name="_Toc296503167"/>
      <w:r/>
      <w:bookmarkStart w:id="258" w:name="_Toc297048353"/>
      <w:r/>
      <w:bookmarkStart w:id="259" w:name="_Toc304295556"/>
      <w:r/>
      <w:bookmarkStart w:id="260" w:name="_Toc297216186"/>
      <w:r/>
      <w:bookmarkStart w:id="261" w:name="_Toc296890995"/>
      <w:r/>
      <w:bookmarkStart w:id="262" w:name="_Toc297123527"/>
      <w:r/>
      <w:bookmarkStart w:id="263" w:name="_Toc292559372"/>
      <w:r/>
      <w:bookmarkStart w:id="264" w:name="_Toc312678019"/>
      <w:r/>
      <w:bookmarkStart w:id="265" w:name="_Toc296347166"/>
      <w:r/>
      <w:bookmarkStart w:id="266" w:name="_Toc267251424"/>
      <w:r/>
      <w:bookmarkStart w:id="267" w:name="_Toc280868656"/>
      <w:r/>
      <w:bookmarkStart w:id="268" w:name="_Toc280868655"/>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69" w:name="_Toc292559878"/>
      <w:r/>
      <w:bookmarkStart w:id="270" w:name="_Toc292559373"/>
      <w:r/>
      <w:bookmarkStart w:id="271" w:name="_Toc300934980"/>
      <w:r/>
      <w:bookmarkStart w:id="272" w:name="_Toc296944507"/>
      <w:r/>
      <w:bookmarkStart w:id="273" w:name="_Toc304295557"/>
      <w:r/>
      <w:bookmarkStart w:id="274" w:name="_Toc296890996"/>
      <w:r/>
      <w:bookmarkStart w:id="275" w:name="_Toc318581173"/>
      <w:r/>
      <w:bookmarkStart w:id="276" w:name="_Toc303539137"/>
      <w:r/>
      <w:bookmarkStart w:id="277" w:name="_Toc297048354"/>
      <w:r/>
      <w:bookmarkStart w:id="278" w:name="_Toc312677494"/>
      <w:r/>
      <w:bookmarkStart w:id="279" w:name="_Toc297123528"/>
      <w:r/>
      <w:bookmarkStart w:id="280" w:name="_Toc312678020"/>
      <w:r/>
      <w:bookmarkStart w:id="281" w:name="_Toc296347167"/>
      <w:r/>
      <w:bookmarkStart w:id="282" w:name="_Toc296891208"/>
      <w:r/>
      <w:bookmarkStart w:id="283" w:name="_Toc297120468"/>
      <w:r/>
      <w:bookmarkStart w:id="284" w:name="_Toc297216187"/>
      <w:r/>
      <w:bookmarkStart w:id="285" w:name="_Toc296346669"/>
      <w:r/>
      <w:bookmarkStart w:id="286" w:name="_Toc296503168"/>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.1发包人供应的材料设备的保管费用的承担：</w:t>
      </w:r>
      <w:r>
        <w:rPr>
          <w:rFonts w:hint="eastAsia" w:ascii="仿宋" w:hAnsi="仿宋" w:eastAsia="仿宋" w:cs="仿宋"/>
          <w:color w:val="auto"/>
          <w:sz w:val="24"/>
          <w:szCs w:val="24"/>
          <w:highlight w:val="none"/>
          <w:u w:val="single"/>
        </w:rPr>
        <w:t xml:space="preserve">承包人在投标时已综合考虑，已包含在发包价内，发包人不再额外予以补偿</w:t>
      </w:r>
      <w:r>
        <w:rPr>
          <w:rFonts w:hint="eastAsia" w:ascii="仿宋" w:hAnsi="仿宋" w:eastAsia="仿宋" w:cs="仿宋"/>
          <w:color w:val="auto"/>
          <w:sz w:val="24"/>
          <w:szCs w:val="24"/>
          <w:highlight w:val="none"/>
        </w:rPr>
        <w:t xml:space="preserve">。</w:t>
      </w:r>
      <w:bookmarkEnd w:id="269"/>
      <w:r/>
      <w:bookmarkEnd w:id="2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样品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.1样品的报送与封存</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按有关规定和发包人要求执行。</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承包人提供的施工设备和临时设施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费用由中标单位承担 </w:t>
      </w:r>
      <w:r>
        <w:rPr>
          <w:rFonts w:hint="eastAsia" w:ascii="仿宋" w:hAnsi="仿宋" w:eastAsia="仿宋" w:cs="仿宋"/>
          <w:color w:val="auto"/>
          <w:sz w:val="24"/>
          <w:szCs w:val="24"/>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87" w:name="_Toc351203641"/>
      <w:r>
        <w:rPr>
          <w:rFonts w:hint="eastAsia" w:ascii="仿宋" w:hAnsi="仿宋" w:eastAsia="仿宋" w:cs="仿宋"/>
          <w:color w:val="auto"/>
          <w:sz w:val="24"/>
          <w:szCs w:val="24"/>
          <w:highlight w:val="none"/>
          <w:lang w:eastAsia="zh-CN"/>
        </w:rPr>
        <w:t xml:space="preserve">9</w:t>
      </w:r>
      <w:bookmarkEnd w:id="266"/>
      <w:r/>
      <w:bookmarkEnd w:id="267"/>
      <w:r/>
      <w:bookmarkEnd w:id="268"/>
      <w:r/>
      <w:bookmarkStart w:id="288" w:name="_Toc312678021"/>
      <w:r/>
      <w:bookmarkStart w:id="289" w:name="_Toc297216192"/>
      <w:r/>
      <w:bookmarkStart w:id="290" w:name="_Toc303539139"/>
      <w:r/>
      <w:bookmarkStart w:id="291" w:name="_Toc297123533"/>
      <w:r/>
      <w:bookmarkStart w:id="292" w:name="_Toc312677495"/>
      <w:r/>
      <w:bookmarkStart w:id="293" w:name="_Toc300934982"/>
      <w:r/>
      <w:bookmarkStart w:id="294" w:name="_Toc304295559"/>
      <w:r/>
      <w:bookmarkStart w:id="295" w:name="_Toc296891213"/>
      <w:r/>
      <w:bookmarkStart w:id="296" w:name="_Toc296346674"/>
      <w:r/>
      <w:bookmarkStart w:id="297" w:name="_Toc297048359"/>
      <w:r/>
      <w:bookmarkStart w:id="298" w:name="_Toc267251427"/>
      <w:r/>
      <w:bookmarkStart w:id="299" w:name="_Toc296503173"/>
      <w:r/>
      <w:bookmarkStart w:id="300" w:name="_Toc292559378"/>
      <w:r/>
      <w:bookmarkStart w:id="301" w:name="_Toc296944512"/>
      <w:r/>
      <w:bookmarkStart w:id="302" w:name="_Toc296891001"/>
      <w:r/>
      <w:bookmarkStart w:id="303" w:name="_Toc297120473"/>
      <w:r/>
      <w:bookmarkStart w:id="304" w:name="_Toc296347172"/>
      <w:r/>
      <w:bookmarkStart w:id="305" w:name="_Toc292559883"/>
      <w:r/>
      <w:bookmarkStart w:id="306" w:name="_Toc267251428"/>
      <w:r>
        <w:rPr>
          <w:rFonts w:hint="eastAsia" w:ascii="仿宋" w:hAnsi="仿宋" w:eastAsia="仿宋" w:cs="仿宋"/>
          <w:color w:val="auto"/>
          <w:sz w:val="24"/>
          <w:szCs w:val="24"/>
          <w:highlight w:val="none"/>
          <w:lang w:eastAsia="zh-CN"/>
        </w:rPr>
        <w:t xml:space="preserve">. 试验与检验</w:t>
      </w:r>
      <w:bookmarkEnd w:id="287"/>
      <w:r/>
      <w:bookmarkEnd w:id="288"/>
      <w:r/>
      <w:bookmarkEnd w:id="289"/>
      <w:r/>
      <w:bookmarkEnd w:id="290"/>
      <w:r/>
      <w:bookmarkEnd w:id="291"/>
      <w:r/>
      <w:bookmarkEnd w:id="292"/>
      <w:r/>
      <w:bookmarkEnd w:id="293"/>
      <w:r/>
      <w:bookmarkEnd w:id="29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07" w:name="_Toc312677496"/>
      <w:r/>
      <w:bookmarkStart w:id="308" w:name="_Toc312678022"/>
      <w:r/>
      <w:bookmarkStart w:id="309" w:name="_Toc304295560"/>
      <w:r/>
      <w:bookmarkStart w:id="310" w:name="_Toc297123534"/>
      <w:r/>
      <w:bookmarkStart w:id="311" w:name="_Toc300934983"/>
      <w:r/>
      <w:bookmarkStart w:id="312" w:name="_Toc303539140"/>
      <w:r/>
      <w:bookmarkStart w:id="313" w:name="_Toc297216193"/>
      <w:r>
        <w:rPr>
          <w:rFonts w:hint="eastAsia" w:ascii="仿宋" w:hAnsi="仿宋" w:eastAsia="仿宋" w:cs="仿宋"/>
          <w:color w:val="auto"/>
          <w:sz w:val="24"/>
          <w:szCs w:val="24"/>
          <w:highlight w:val="none"/>
        </w:rPr>
        <w:t xml:space="preserve">.1试验设备与试验人员</w:t>
      </w:r>
      <w:bookmarkEnd w:id="307"/>
      <w:r/>
      <w:bookmarkEnd w:id="308"/>
      <w:r/>
      <w:bookmarkEnd w:id="309"/>
      <w:r/>
      <w:bookmarkEnd w:id="310"/>
      <w:r/>
      <w:bookmarkEnd w:id="311"/>
      <w:r/>
      <w:bookmarkEnd w:id="312"/>
      <w:r/>
      <w:bookmarkEnd w:id="31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14" w:name="_Toc312677497"/>
      <w:r/>
      <w:bookmarkStart w:id="315" w:name="_Toc303539141"/>
      <w:r/>
      <w:bookmarkStart w:id="316" w:name="_Toc318581174"/>
      <w:r/>
      <w:bookmarkStart w:id="317" w:name="_Toc312678023"/>
      <w:r/>
      <w:bookmarkStart w:id="318" w:name="_Toc300934984"/>
      <w:r/>
      <w:bookmarkStart w:id="319" w:name="_Toc304295561"/>
      <w:r/>
      <w:bookmarkStart w:id="320" w:name="_Toc297123535"/>
      <w:r/>
      <w:bookmarkStart w:id="321" w:name="_Toc297216194"/>
      <w:r>
        <w:rPr>
          <w:rFonts w:hint="eastAsia" w:ascii="仿宋" w:hAnsi="仿宋" w:eastAsia="仿宋" w:cs="仿宋"/>
          <w:color w:val="auto"/>
          <w:sz w:val="24"/>
          <w:szCs w:val="24"/>
          <w:highlight w:val="none"/>
        </w:rPr>
        <w:t xml:space="preserve">.1.2 试验设备</w:t>
      </w:r>
      <w:bookmarkEnd w:id="314"/>
      <w:r/>
      <w:bookmarkEnd w:id="315"/>
      <w:r/>
      <w:bookmarkEnd w:id="316"/>
      <w:r/>
      <w:bookmarkEnd w:id="317"/>
      <w:r/>
      <w:bookmarkEnd w:id="318"/>
      <w:r/>
      <w:bookmarkEnd w:id="319"/>
      <w:r/>
      <w:bookmarkEnd w:id="320"/>
      <w:r/>
      <w:bookmarkEnd w:id="321"/>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bookmarkStart w:id="322" w:name="_Toc35120364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按现行相关规定、质监部门的有关要求及监理</w:t>
      </w:r>
      <w:r>
        <w:rPr>
          <w:rFonts w:hint="eastAsia" w:ascii="仿宋" w:hAnsi="仿宋" w:eastAsia="仿宋" w:cs="仿宋"/>
          <w:color w:val="auto"/>
          <w:sz w:val="24"/>
          <w:szCs w:val="24"/>
          <w:highlight w:val="none"/>
          <w:u w:val="single"/>
          <w:lang w:eastAsia="zh-CN"/>
        </w:rPr>
        <w:t xml:space="preserve">人员</w:t>
      </w:r>
      <w:r>
        <w:rPr>
          <w:rFonts w:hint="eastAsia" w:ascii="仿宋" w:hAnsi="仿宋" w:eastAsia="仿宋" w:cs="仿宋"/>
          <w:color w:val="auto"/>
          <w:sz w:val="24"/>
          <w:szCs w:val="24"/>
          <w:highlight w:val="none"/>
          <w:u w:val="single"/>
        </w:rPr>
        <w:t xml:space="preserve">指示进行配</w:t>
      </w:r>
      <w:r>
        <w:rPr>
          <w:rFonts w:hint="eastAsia" w:ascii="仿宋" w:hAnsi="仿宋" w:eastAsia="仿宋" w:cs="仿宋"/>
          <w:b w:val="0"/>
          <w:bCs w:val="0"/>
          <w:color w:val="auto"/>
          <w:sz w:val="24"/>
          <w:szCs w:val="24"/>
          <w:highlight w:val="none"/>
          <w:u w:val="single"/>
        </w:rPr>
        <w:t xml:space="preserve">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施工现场需要配备的试验设备：</w:t>
      </w:r>
      <w:r>
        <w:rPr>
          <w:rFonts w:hint="eastAsia" w:ascii="仿宋" w:hAnsi="仿宋" w:eastAsia="仿宋" w:cs="仿宋"/>
          <w:b w:val="0"/>
          <w:bCs w:val="0"/>
          <w:color w:val="auto"/>
          <w:sz w:val="24"/>
          <w:szCs w:val="24"/>
          <w:highlight w:val="none"/>
          <w:u w:val="single"/>
        </w:rPr>
        <w:t xml:space="preserve">按现行相关规定、质监部门的有关要求及监理</w:t>
      </w:r>
      <w:r>
        <w:rPr>
          <w:rFonts w:hint="eastAsia" w:ascii="仿宋" w:hAnsi="仿宋" w:eastAsia="仿宋" w:cs="仿宋"/>
          <w:b w:val="0"/>
          <w:bCs w:val="0"/>
          <w:color w:val="auto"/>
          <w:sz w:val="24"/>
          <w:szCs w:val="24"/>
          <w:highlight w:val="none"/>
          <w:u w:val="single"/>
          <w:lang w:eastAsia="zh-CN"/>
        </w:rPr>
        <w:t xml:space="preserve">人员</w:t>
      </w:r>
      <w:r>
        <w:rPr>
          <w:rFonts w:hint="eastAsia" w:ascii="仿宋" w:hAnsi="仿宋" w:eastAsia="仿宋" w:cs="仿宋"/>
          <w:b w:val="0"/>
          <w:bCs w:val="0"/>
          <w:color w:val="auto"/>
          <w:sz w:val="24"/>
          <w:szCs w:val="24"/>
          <w:highlight w:val="none"/>
          <w:u w:val="single"/>
        </w:rPr>
        <w:t xml:space="preserve">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施工现场需要具备的其他试验条件：</w:t>
      </w:r>
      <w:r>
        <w:rPr>
          <w:rFonts w:hint="eastAsia" w:ascii="仿宋" w:hAnsi="仿宋" w:eastAsia="仿宋" w:cs="仿宋"/>
          <w:b w:val="0"/>
          <w:bCs w:val="0"/>
          <w:color w:val="auto"/>
          <w:sz w:val="24"/>
          <w:szCs w:val="24"/>
          <w:highlight w:val="none"/>
          <w:u w:val="single"/>
        </w:rPr>
        <w:t xml:space="preserve">按现行相关规定、质监部门的有关要求及监理人指示进行配置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outlineLvl w:val="0"/>
      </w:pPr>
      <w:r/>
      <w:bookmarkStart w:id="323" w:name="_Toc6537"/>
      <w:r/>
      <w:bookmarkStart w:id="324" w:name="_Toc7613"/>
      <w:r>
        <w:rPr>
          <w:rFonts w:hint="eastAsia" w:ascii="仿宋" w:hAnsi="仿宋" w:eastAsia="仿宋" w:cs="仿宋"/>
          <w:b w:val="0"/>
          <w:bCs w:val="0"/>
          <w:color w:val="auto"/>
          <w:sz w:val="24"/>
          <w:szCs w:val="24"/>
          <w:highlight w:val="none"/>
        </w:rPr>
        <w:t xml:space="preserve">9.</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现场工艺试验</w:t>
      </w:r>
      <w:bookmarkEnd w:id="323"/>
      <w:r/>
      <w:bookmarkEnd w:id="324"/>
      <w:r>
        <w:rPr>
          <w:rFonts w:hint="eastAsia" w:ascii="仿宋" w:hAnsi="仿宋" w:eastAsia="仿宋" w:cs="仿宋"/>
          <w:b w:val="0"/>
          <w:bCs w:val="0"/>
          <w:color w:val="auto"/>
          <w:sz w:val="24"/>
          <w:szCs w:val="24"/>
          <w:highlight w:val="none"/>
        </w:rPr>
        <w:t xml:space="preserve"> </w:t>
      </w:r>
      <w:r/>
    </w:p>
    <w:p>
      <w:pPr>
        <w:pStyle w:val="694"/>
        <w:ind w:left="0" w:firstLine="480"/>
        <w:pageBreakBefore w:val="0"/>
        <w:spacing w:line="38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现场工艺试验的有关约定：</w:t>
      </w:r>
      <w:r>
        <w:rPr>
          <w:rFonts w:hint="eastAsia" w:ascii="仿宋" w:hAnsi="仿宋" w:eastAsia="仿宋" w:cs="仿宋"/>
          <w:b w:val="0"/>
          <w:bCs w:val="0"/>
          <w:color w:val="auto"/>
          <w:sz w:val="24"/>
          <w:szCs w:val="24"/>
          <w:highlight w:val="none"/>
          <w:u w:val="single"/>
          <w:lang w:val="en-US" w:eastAsia="zh-CN" w:bidi="ar-SA"/>
        </w:rPr>
        <w:t xml:space="preserve">按通用合同条款执行 </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25" w:name="_Toc296891233"/>
      <w:r/>
      <w:bookmarkStart w:id="326" w:name="_Toc292559398"/>
      <w:r/>
      <w:bookmarkStart w:id="327" w:name="_Toc304295566"/>
      <w:r/>
      <w:bookmarkStart w:id="328" w:name="_Toc296346694"/>
      <w:r/>
      <w:bookmarkStart w:id="329" w:name="_Toc297216199"/>
      <w:r/>
      <w:bookmarkStart w:id="330" w:name="_Toc292559903"/>
      <w:r/>
      <w:bookmarkStart w:id="331" w:name="_Toc297120493"/>
      <w:r/>
      <w:bookmarkStart w:id="332" w:name="_Toc312677499"/>
      <w:r/>
      <w:bookmarkStart w:id="333" w:name="_Toc303539146"/>
      <w:r/>
      <w:bookmarkStart w:id="334" w:name="_Toc297048379"/>
      <w:r/>
      <w:bookmarkStart w:id="335" w:name="_Toc297123540"/>
      <w:r/>
      <w:bookmarkStart w:id="336" w:name="_Toc312678025"/>
      <w:r/>
      <w:bookmarkStart w:id="337" w:name="_Toc296503193"/>
      <w:r/>
      <w:bookmarkStart w:id="338" w:name="_Toc300934989"/>
      <w:r/>
      <w:bookmarkStart w:id="339" w:name="_Toc296891021"/>
      <w:r/>
      <w:bookmarkStart w:id="340" w:name="_Toc296347192"/>
      <w:r/>
      <w:bookmarkStart w:id="341" w:name="_Toc296944532"/>
      <w:r/>
      <w:bookmarkStart w:id="342" w:name="_Toc267251439"/>
      <w:r/>
      <w:bookmarkStart w:id="343" w:name="_Toc267251437"/>
      <w:r/>
      <w:bookmarkStart w:id="344" w:name="_Toc267251433"/>
      <w:r/>
      <w:bookmarkStart w:id="345" w:name="_Toc267251441"/>
      <w:r/>
      <w:bookmarkStart w:id="346" w:name="_Toc267251440"/>
      <w:r/>
      <w:bookmarkStart w:id="347" w:name="_Toc267251435"/>
      <w:r/>
      <w:bookmarkStart w:id="348" w:name="_Toc267251442"/>
      <w:r>
        <w:rPr>
          <w:rFonts w:hint="eastAsia" w:ascii="仿宋" w:hAnsi="仿宋" w:eastAsia="仿宋" w:cs="仿宋"/>
          <w:color w:val="auto"/>
          <w:sz w:val="24"/>
          <w:szCs w:val="24"/>
          <w:highlight w:val="none"/>
          <w:lang w:eastAsia="zh-CN"/>
        </w:rPr>
        <w:t xml:space="preserve">0. 变更</w:t>
      </w:r>
      <w:bookmarkEnd w:id="322"/>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49" w:name="_Toc296346695"/>
      <w:r/>
      <w:bookmarkStart w:id="350" w:name="_Toc296347193"/>
      <w:r/>
      <w:bookmarkStart w:id="351" w:name="_Toc297120494"/>
      <w:r/>
      <w:bookmarkStart w:id="352" w:name="_Toc297048380"/>
      <w:r/>
      <w:bookmarkStart w:id="353" w:name="_Toc297216200"/>
      <w:r/>
      <w:bookmarkStart w:id="354" w:name="_Toc304295567"/>
      <w:r/>
      <w:bookmarkStart w:id="355" w:name="_Toc292559904"/>
      <w:r/>
      <w:bookmarkStart w:id="356" w:name="_Toc296503194"/>
      <w:r/>
      <w:bookmarkStart w:id="357" w:name="_Toc292559399"/>
      <w:r/>
      <w:bookmarkStart w:id="358" w:name="_Toc312678026"/>
      <w:r/>
      <w:bookmarkStart w:id="359" w:name="_Toc296891234"/>
      <w:r/>
      <w:bookmarkStart w:id="360" w:name="_Toc312677500"/>
      <w:r/>
      <w:bookmarkStart w:id="361" w:name="_Toc296944533"/>
      <w:r/>
      <w:bookmarkStart w:id="362" w:name="_Toc303539147"/>
      <w:r/>
      <w:bookmarkStart w:id="363" w:name="_Toc300934990"/>
      <w:r/>
      <w:bookmarkStart w:id="364" w:name="_Toc297123541"/>
      <w:r/>
      <w:bookmarkStart w:id="365" w:name="_Toc296891022"/>
      <w:r>
        <w:rPr>
          <w:rFonts w:hint="eastAsia" w:ascii="仿宋" w:hAnsi="仿宋" w:eastAsia="仿宋" w:cs="仿宋"/>
          <w:color w:val="auto"/>
          <w:sz w:val="24"/>
          <w:szCs w:val="24"/>
          <w:highlight w:val="none"/>
        </w:rPr>
        <w:t xml:space="preserve">0.1变更的范围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变更估价</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变更估价原则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同投标报价中人工、材料、机械、管理费、利润以及各项措施项目费用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7216203"/>
      <w:r/>
      <w:bookmarkStart w:id="367" w:name="_Toc296347196"/>
      <w:r/>
      <w:bookmarkStart w:id="368" w:name="_Toc296346698"/>
      <w:r/>
      <w:bookmarkStart w:id="369" w:name="_Toc296891025"/>
      <w:r/>
      <w:bookmarkStart w:id="370" w:name="_Toc303539150"/>
      <w:r/>
      <w:bookmarkStart w:id="371" w:name="_Toc297120497"/>
      <w:r/>
      <w:bookmarkStart w:id="372" w:name="_Toc296891237"/>
      <w:r/>
      <w:bookmarkStart w:id="373" w:name="_Toc297048383"/>
      <w:r/>
      <w:bookmarkStart w:id="374" w:name="_Toc296503197"/>
      <w:r/>
      <w:bookmarkStart w:id="375" w:name="_Toc297123544"/>
      <w:r/>
      <w:bookmarkStart w:id="376" w:name="_Toc292559907"/>
      <w:r/>
      <w:bookmarkStart w:id="377" w:name="_Toc296944536"/>
      <w:r/>
      <w:bookmarkStart w:id="378" w:name="_Toc300934993"/>
      <w:r/>
      <w:bookmarkStart w:id="379" w:name="_Toc292559402"/>
      <w:r/>
      <w:bookmarkStart w:id="380" w:name="_Toc312678029"/>
      <w:r/>
      <w:bookmarkStart w:id="381" w:name="_Toc312677503"/>
      <w:r/>
      <w:bookmarkStart w:id="382" w:name="_Toc304295570"/>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297216204"/>
      <w:r/>
      <w:bookmarkStart w:id="384" w:name="_Toc300934994"/>
      <w:r/>
      <w:bookmarkStart w:id="385" w:name="_Toc296944542"/>
      <w:r/>
      <w:bookmarkStart w:id="386" w:name="_Toc296891031"/>
      <w:r/>
      <w:bookmarkStart w:id="387" w:name="_Toc297120503"/>
      <w:r/>
      <w:bookmarkStart w:id="388" w:name="_Toc303539151"/>
      <w:r/>
      <w:bookmarkStart w:id="389" w:name="_Toc296347202"/>
      <w:r/>
      <w:bookmarkStart w:id="390" w:name="_Toc292559408"/>
      <w:r/>
      <w:bookmarkStart w:id="391" w:name="_Toc296346704"/>
      <w:r/>
      <w:bookmarkStart w:id="392" w:name="_Toc297123545"/>
      <w:r/>
      <w:bookmarkStart w:id="393" w:name="_Toc296891243"/>
      <w:r/>
      <w:bookmarkStart w:id="394" w:name="_Toc292559913"/>
      <w:r/>
      <w:bookmarkStart w:id="395" w:name="_Toc296503203"/>
      <w:r/>
      <w:bookmarkStart w:id="396" w:name="_Toc297048389"/>
      <w:r>
        <w:rPr>
          <w:rFonts w:hint="eastAsia" w:ascii="仿宋" w:hAnsi="仿宋" w:eastAsia="仿宋" w:cs="仿宋"/>
          <w:color w:val="auto"/>
          <w:sz w:val="24"/>
          <w:szCs w:val="24"/>
          <w:highlight w:val="none"/>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97" w:name="_Toc297123546"/>
      <w:r/>
      <w:bookmarkStart w:id="398" w:name="_Toc312677504"/>
      <w:r/>
      <w:bookmarkStart w:id="399" w:name="_Toc296944543"/>
      <w:r/>
      <w:bookmarkStart w:id="400" w:name="_Toc318581175"/>
      <w:r/>
      <w:bookmarkStart w:id="401" w:name="_Toc300934995"/>
      <w:r/>
      <w:bookmarkStart w:id="402" w:name="_Toc296891244"/>
      <w:r/>
      <w:bookmarkStart w:id="403" w:name="_Toc297120504"/>
      <w:r/>
      <w:bookmarkStart w:id="404" w:name="_Toc292559409"/>
      <w:r/>
      <w:bookmarkStart w:id="405" w:name="_Toc296346705"/>
      <w:r/>
      <w:bookmarkStart w:id="406" w:name="_Toc297216205"/>
      <w:r/>
      <w:bookmarkStart w:id="407" w:name="_Toc296891032"/>
      <w:r/>
      <w:bookmarkStart w:id="408" w:name="_Toc312678030"/>
      <w:r/>
      <w:bookmarkStart w:id="409" w:name="_Toc296347203"/>
      <w:r/>
      <w:bookmarkStart w:id="410" w:name="_Toc296503204"/>
      <w:r/>
      <w:bookmarkStart w:id="411" w:name="_Toc292559914"/>
      <w:r/>
      <w:bookmarkStart w:id="412" w:name="_Toc297048390"/>
      <w:r/>
      <w:bookmarkStart w:id="413" w:name="_Toc304295571"/>
      <w:r/>
      <w:bookmarkStart w:id="414" w:name="_Toc303539152"/>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bookmarkStart w:id="415" w:name="_Toc292559909"/>
      <w:r/>
      <w:bookmarkStart w:id="416" w:name="_Toc297120499"/>
      <w:r/>
      <w:bookmarkStart w:id="417" w:name="_Toc296346700"/>
      <w:r/>
      <w:bookmarkStart w:id="418" w:name="_Toc297123548"/>
      <w:r/>
      <w:bookmarkStart w:id="419" w:name="_Toc312677507"/>
      <w:r/>
      <w:bookmarkStart w:id="420" w:name="_Toc312678033"/>
      <w:r/>
      <w:bookmarkStart w:id="421" w:name="_Toc296347198"/>
      <w:r/>
      <w:bookmarkStart w:id="422" w:name="_Toc297048385"/>
      <w:r/>
      <w:bookmarkStart w:id="423" w:name="_Toc296891027"/>
      <w:r/>
      <w:bookmarkStart w:id="424" w:name="_Toc297216207"/>
      <w:r/>
      <w:bookmarkStart w:id="425" w:name="_Toc304295574"/>
      <w:r/>
      <w:bookmarkStart w:id="426" w:name="_Toc303539154"/>
      <w:r/>
      <w:bookmarkStart w:id="427" w:name="_Toc296891239"/>
      <w:r/>
      <w:bookmarkStart w:id="428" w:name="_Toc292559404"/>
      <w:r/>
      <w:bookmarkStart w:id="429" w:name="_Toc300934997"/>
      <w:r/>
      <w:bookmarkStart w:id="430" w:name="_Toc296944538"/>
      <w:r/>
      <w:bookmarkStart w:id="431" w:name="_Toc296503199"/>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32" w:name="_Toc312678034"/>
      <w:r/>
      <w:bookmarkStart w:id="433" w:name="_Toc312677508"/>
      <w:r/>
      <w:bookmarkStart w:id="434" w:name="_Toc318581176"/>
      <w:r>
        <w:rPr>
          <w:rFonts w:hint="eastAsia" w:ascii="仿宋" w:hAnsi="仿宋" w:eastAsia="仿宋" w:cs="仿宋"/>
          <w:color w:val="auto"/>
          <w:sz w:val="24"/>
          <w:szCs w:val="24"/>
          <w:highlight w:val="none"/>
        </w:rPr>
        <w:t xml:space="preserve">估价材料和工程设备的明细详见附件11：《暂估价一览表》。</w:t>
      </w:r>
      <w:bookmarkEnd w:id="432"/>
      <w:r/>
      <w:bookmarkEnd w:id="433"/>
      <w:r/>
      <w:bookmarkEnd w:id="43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35" w:name="_Toc312677509"/>
      <w:r/>
      <w:bookmarkStart w:id="436" w:name="_Toc312678035"/>
      <w:r/>
      <w:bookmarkStart w:id="437" w:name="_Toc318581177"/>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依法必须招标的暂估价项目</w:t>
      </w:r>
      <w:bookmarkEnd w:id="435"/>
      <w:r/>
      <w:bookmarkEnd w:id="436"/>
      <w:r/>
      <w:bookmarkEnd w:id="437"/>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 xml:space="preserve">种方式确定。</w:t>
      </w:r>
      <w:r>
        <w:rPr>
          <w:rFonts w:hint="eastAsia" w:ascii="仿宋" w:hAnsi="仿宋" w:eastAsia="仿宋" w:cs="仿宋"/>
          <w:color w:val="auto"/>
          <w:sz w:val="24"/>
          <w:szCs w:val="24"/>
          <w:highlight w:val="none"/>
          <w:u w:val="single"/>
        </w:rPr>
        <w:t xml:space="preserve">该种方式调整补充约定：发包人在工程量清单中给定的暂估价项目，承包人应按照施工</w:t>
      </w:r>
      <w:r>
        <w:rPr>
          <w:rFonts w:hint="eastAsia" w:ascii="仿宋" w:hAnsi="仿宋" w:eastAsia="仿宋" w:cs="仿宋"/>
          <w:color w:val="auto"/>
          <w:sz w:val="24"/>
          <w:szCs w:val="24"/>
          <w:highlight w:val="none"/>
          <w:u w:val="single"/>
        </w:rPr>
        <w:t xml:space="preserve">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w:t>
      </w:r>
      <w:r>
        <w:rPr>
          <w:rFonts w:hint="eastAsia" w:ascii="仿宋" w:hAnsi="仿宋" w:eastAsia="仿宋" w:cs="仿宋"/>
          <w:color w:val="auto"/>
          <w:sz w:val="24"/>
          <w:szCs w:val="24"/>
          <w:highlight w:val="none"/>
          <w:u w:val="single"/>
          <w:lang w:eastAsia="zh-CN"/>
        </w:rPr>
        <w:t xml:space="preserve">提出其他</w:t>
      </w:r>
      <w:r>
        <w:rPr>
          <w:rFonts w:hint="eastAsia" w:ascii="仿宋" w:hAnsi="仿宋" w:eastAsia="仿宋" w:cs="仿宋"/>
          <w:color w:val="auto"/>
          <w:sz w:val="24"/>
          <w:szCs w:val="24"/>
          <w:highlight w:val="none"/>
          <w:u w:val="single"/>
        </w:rPr>
        <w:t xml:space="preserve">额外费用补偿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如果出现招投标监管平台仅允许发包人作为招标人实施暂估价项目招标时，承包人仍然同意按照上述条款执行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不属于依法必须招标的暂估价项目</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暂列金额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暂列金额归发包人所有或使用</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38" w:name="_Toc351203643"/>
      <w:r>
        <w:rPr>
          <w:rFonts w:hint="eastAsia" w:ascii="仿宋" w:hAnsi="仿宋" w:eastAsia="仿宋" w:cs="仿宋"/>
          <w:color w:val="auto"/>
          <w:sz w:val="24"/>
          <w:szCs w:val="24"/>
          <w:highlight w:val="none"/>
          <w:lang w:eastAsia="zh-CN"/>
        </w:rPr>
        <w:t xml:space="preserve">11. 价格调整</w:t>
      </w:r>
      <w:bookmarkEnd w:id="438"/>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39" w:name="_Toc297048387"/>
      <w:r/>
      <w:bookmarkStart w:id="440" w:name="_Toc296944540"/>
      <w:r/>
      <w:bookmarkStart w:id="441" w:name="_Toc297120501"/>
      <w:r/>
      <w:bookmarkStart w:id="442" w:name="_Toc297216209"/>
      <w:r/>
      <w:bookmarkStart w:id="443" w:name="_Toc312678039"/>
      <w:r/>
      <w:bookmarkStart w:id="444" w:name="_Toc296891241"/>
      <w:r/>
      <w:bookmarkStart w:id="445" w:name="_Toc296891029"/>
      <w:r/>
      <w:bookmarkStart w:id="446" w:name="_Toc300935000"/>
      <w:r/>
      <w:bookmarkStart w:id="447" w:name="_Toc296346702"/>
      <w:r/>
      <w:bookmarkStart w:id="448" w:name="_Toc303539157"/>
      <w:r/>
      <w:bookmarkStart w:id="449" w:name="_Toc296347200"/>
      <w:r/>
      <w:bookmarkStart w:id="450" w:name="_Toc304295577"/>
      <w:r/>
      <w:bookmarkStart w:id="451" w:name="_Toc296503201"/>
      <w:r/>
      <w:bookmarkStart w:id="452" w:name="_Toc292559911"/>
      <w:r/>
      <w:bookmarkStart w:id="453" w:name="_Toc297123550"/>
      <w:r/>
      <w:bookmarkStart w:id="454" w:name="_Toc292559406"/>
      <w:r>
        <w:rPr>
          <w:rFonts w:hint="eastAsia" w:ascii="仿宋" w:hAnsi="仿宋" w:eastAsia="仿宋" w:cs="仿宋"/>
          <w:color w:val="auto"/>
          <w:sz w:val="24"/>
          <w:szCs w:val="24"/>
          <w:highlight w:val="none"/>
        </w:rPr>
        <w:t xml:space="preserve">11.1 市场价格波动引起的调整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不调整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种方式对合同价格进行调整：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同投标报价     </w:t>
      </w:r>
      <w:r>
        <w:rPr>
          <w:rFonts w:hint="eastAsia" w:ascii="仿宋" w:hAnsi="仿宋" w:eastAsia="仿宋" w:cs="仿宋"/>
          <w:color w:val="auto"/>
          <w:sz w:val="24"/>
          <w:szCs w:val="24"/>
          <w:highlight w:val="none"/>
        </w:rPr>
        <w:t xml:space="preserve">。</w:t>
      </w:r>
      <w:bookmarkEnd w:id="342"/>
      <w:r/>
      <w:bookmarkEnd w:id="343"/>
      <w:r/>
      <w:bookmarkEnd w:id="344"/>
      <w:r/>
      <w:bookmarkEnd w:id="345"/>
      <w:r/>
      <w:bookmarkEnd w:id="346"/>
      <w:r/>
      <w:bookmarkEnd w:id="34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55" w:name="_Toc297048391"/>
      <w:r/>
      <w:bookmarkStart w:id="456" w:name="_Toc296346706"/>
      <w:r/>
      <w:bookmarkStart w:id="457" w:name="_Toc296891245"/>
      <w:r/>
      <w:bookmarkStart w:id="458" w:name="_Toc297120505"/>
      <w:r/>
      <w:bookmarkStart w:id="459" w:name="_Toc296891033"/>
      <w:r/>
      <w:bookmarkStart w:id="460" w:name="_Toc292559410"/>
      <w:r/>
      <w:bookmarkStart w:id="461" w:name="_Toc292559915"/>
      <w:r/>
      <w:bookmarkStart w:id="462" w:name="_Toc296347204"/>
      <w:r/>
      <w:bookmarkStart w:id="463" w:name="_Toc296503205"/>
      <w:r/>
      <w:bookmarkStart w:id="464" w:name="_Toc296944544"/>
      <w:r/>
      <w:bookmarkStart w:id="465" w:name="_Toc297123552"/>
      <w:r/>
      <w:bookmarkStart w:id="466" w:name="_Toc312678040"/>
      <w:r/>
      <w:bookmarkStart w:id="467" w:name="_Toc297216211"/>
      <w:r/>
      <w:bookmarkStart w:id="468" w:name="_Toc303539159"/>
      <w:r/>
      <w:bookmarkStart w:id="469" w:name="_Toc351203644"/>
      <w:r/>
      <w:bookmarkStart w:id="470" w:name="_Toc304295579"/>
      <w:r/>
      <w:bookmarkStart w:id="471" w:name="_Toc300935002"/>
      <w:r>
        <w:rPr>
          <w:rFonts w:hint="eastAsia" w:ascii="仿宋" w:hAnsi="仿宋" w:eastAsia="仿宋" w:cs="仿宋"/>
          <w:color w:val="auto"/>
          <w:sz w:val="24"/>
          <w:szCs w:val="24"/>
          <w:highlight w:val="none"/>
          <w:lang w:eastAsia="zh-CN"/>
        </w:rPr>
        <w:t xml:space="preserve">12. </w:t>
      </w:r>
      <w:bookmarkEnd w:id="455"/>
      <w:r/>
      <w:bookmarkEnd w:id="456"/>
      <w:r/>
      <w:bookmarkEnd w:id="457"/>
      <w:r/>
      <w:bookmarkEnd w:id="458"/>
      <w:r/>
      <w:bookmarkEnd w:id="459"/>
      <w:r/>
      <w:bookmarkEnd w:id="460"/>
      <w:r/>
      <w:bookmarkEnd w:id="461"/>
      <w:r/>
      <w:bookmarkEnd w:id="462"/>
      <w:r/>
      <w:bookmarkEnd w:id="463"/>
      <w:r/>
      <w:bookmarkEnd w:id="464"/>
      <w:r>
        <w:rPr>
          <w:rFonts w:hint="eastAsia" w:ascii="仿宋" w:hAnsi="仿宋" w:eastAsia="仿宋" w:cs="仿宋"/>
          <w:color w:val="auto"/>
          <w:sz w:val="24"/>
          <w:szCs w:val="24"/>
          <w:highlight w:val="none"/>
          <w:lang w:eastAsia="zh-CN"/>
        </w:rPr>
        <w:t xml:space="preserve">合同价格、计量与支付</w:t>
      </w:r>
      <w:bookmarkEnd w:id="465"/>
      <w:r/>
      <w:bookmarkEnd w:id="466"/>
      <w:r/>
      <w:bookmarkEnd w:id="467"/>
      <w:r/>
      <w:bookmarkEnd w:id="468"/>
      <w:r/>
      <w:bookmarkEnd w:id="469"/>
      <w:r/>
      <w:bookmarkEnd w:id="470"/>
      <w:r/>
      <w:bookmarkEnd w:id="471"/>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72" w:name="_Toc292559411"/>
      <w:r/>
      <w:bookmarkStart w:id="473" w:name="_Toc292559916"/>
      <w:r/>
      <w:bookmarkStart w:id="474" w:name="_Toc267251461"/>
      <w:r/>
      <w:bookmarkStart w:id="475" w:name="_Toc296347205"/>
      <w:r/>
      <w:bookmarkStart w:id="476" w:name="_Toc297048392"/>
      <w:r/>
      <w:bookmarkStart w:id="477" w:name="_Toc297120506"/>
      <w:r/>
      <w:bookmarkStart w:id="478" w:name="_Toc296503206"/>
      <w:r/>
      <w:bookmarkStart w:id="479" w:name="_Toc296891246"/>
      <w:r/>
      <w:bookmarkStart w:id="480" w:name="_Toc296346707"/>
      <w:r/>
      <w:bookmarkStart w:id="481" w:name="_Toc296891034"/>
      <w:r/>
      <w:bookmarkStart w:id="482" w:name="_Toc296944545"/>
      <w:r/>
      <w:bookmarkStart w:id="483" w:name="_Toc312678041"/>
      <w:r/>
      <w:bookmarkStart w:id="484" w:name="_Toc300935003"/>
      <w:r/>
      <w:bookmarkStart w:id="485" w:name="_Toc303539160"/>
      <w:r/>
      <w:bookmarkStart w:id="486" w:name="_Toc304295580"/>
      <w:r/>
      <w:bookmarkStart w:id="487" w:name="_Toc297123553"/>
      <w:r/>
      <w:bookmarkStart w:id="488" w:name="_Toc297216212"/>
      <w:r>
        <w:rPr>
          <w:rFonts w:hint="eastAsia" w:ascii="仿宋" w:hAnsi="仿宋" w:eastAsia="仿宋" w:cs="仿宋"/>
          <w:color w:val="auto"/>
          <w:sz w:val="24"/>
          <w:szCs w:val="24"/>
          <w:highlight w:val="none"/>
        </w:rPr>
        <w:t xml:space="preserve">12.1 合</w:t>
      </w:r>
      <w:bookmarkEnd w:id="472"/>
      <w:r/>
      <w:bookmarkEnd w:id="473"/>
      <w:r/>
      <w:bookmarkEnd w:id="474"/>
      <w:r>
        <w:rPr>
          <w:rFonts w:hint="eastAsia" w:ascii="仿宋" w:hAnsi="仿宋" w:eastAsia="仿宋" w:cs="仿宋"/>
          <w:color w:val="auto"/>
          <w:sz w:val="24"/>
          <w:szCs w:val="24"/>
          <w:highlight w:val="none"/>
        </w:rPr>
        <w:t xml:space="preserve">同价</w:t>
      </w:r>
      <w:bookmarkEnd w:id="475"/>
      <w:r/>
      <w:bookmarkEnd w:id="476"/>
      <w:r/>
      <w:bookmarkEnd w:id="477"/>
      <w:r/>
      <w:bookmarkEnd w:id="478"/>
      <w:r/>
      <w:bookmarkEnd w:id="479"/>
      <w:r/>
      <w:bookmarkEnd w:id="480"/>
      <w:r/>
      <w:bookmarkEnd w:id="481"/>
      <w:r/>
      <w:bookmarkEnd w:id="482"/>
      <w:r>
        <w:rPr>
          <w:rFonts w:hint="eastAsia" w:ascii="仿宋" w:hAnsi="仿宋" w:eastAsia="仿宋" w:cs="仿宋"/>
          <w:color w:val="auto"/>
          <w:sz w:val="24"/>
          <w:szCs w:val="24"/>
          <w:highlight w:val="none"/>
        </w:rPr>
        <w:t xml:space="preserve">格形式</w:t>
      </w:r>
      <w:bookmarkEnd w:id="483"/>
      <w:r/>
      <w:bookmarkEnd w:id="484"/>
      <w:r/>
      <w:bookmarkEnd w:id="485"/>
      <w:r/>
      <w:bookmarkEnd w:id="486"/>
      <w:r/>
      <w:bookmarkEnd w:id="487"/>
      <w:r/>
      <w:bookmarkEnd w:id="488"/>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承包人投标时充分考虑施工期间材料</w:t>
      </w:r>
      <w:r>
        <w:rPr>
          <w:rFonts w:hint="eastAsia" w:ascii="仿宋" w:hAnsi="仿宋" w:eastAsia="仿宋" w:cs="仿宋"/>
          <w:color w:val="auto"/>
          <w:sz w:val="24"/>
          <w:szCs w:val="24"/>
          <w:highlight w:val="none"/>
          <w:u w:val="single"/>
          <w:lang w:eastAsia="zh-CN"/>
        </w:rPr>
        <w:t xml:space="preserve">及其他风险</w:t>
      </w:r>
      <w:r>
        <w:rPr>
          <w:rFonts w:hint="eastAsia" w:ascii="仿宋" w:hAnsi="仿宋" w:eastAsia="仿宋" w:cs="仿宋"/>
          <w:color w:val="auto"/>
          <w:sz w:val="24"/>
          <w:szCs w:val="24"/>
          <w:highlight w:val="none"/>
          <w:u w:val="single"/>
        </w:rPr>
        <w:t xml:space="preserve">并在投标时计算风险费用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图纸变更需经甲方并报文字材料同意后实施，设计变更工程量按</w:t>
      </w:r>
      <w:r>
        <w:rPr>
          <w:rFonts w:hint="eastAsia" w:ascii="仿宋" w:hAnsi="仿宋" w:eastAsia="仿宋" w:cs="仿宋"/>
          <w:color w:val="auto"/>
          <w:sz w:val="24"/>
          <w:szCs w:val="24"/>
          <w:highlight w:val="none"/>
          <w:u w:val="single"/>
          <w:lang w:eastAsia="zh-CN"/>
        </w:rPr>
        <w:t xml:space="preserve">实际</w:t>
      </w:r>
      <w:r>
        <w:rPr>
          <w:rFonts w:hint="eastAsia" w:ascii="仿宋" w:hAnsi="仿宋" w:eastAsia="仿宋" w:cs="仿宋"/>
          <w:color w:val="auto"/>
          <w:sz w:val="24"/>
          <w:szCs w:val="24"/>
          <w:highlight w:val="none"/>
          <w:u w:val="single"/>
        </w:rPr>
        <w:t xml:space="preserve">调整，其增减部分价格按投标报价。工程竣工后由政府审计机关审核确定总造价</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对工程中隐蔽工程的工程量要</w:t>
      </w:r>
      <w:r>
        <w:rPr>
          <w:rFonts w:hint="eastAsia" w:ascii="仿宋" w:hAnsi="仿宋" w:eastAsia="仿宋" w:cs="仿宋"/>
          <w:color w:val="auto"/>
          <w:sz w:val="24"/>
          <w:szCs w:val="24"/>
          <w:highlight w:val="none"/>
          <w:u w:val="single"/>
          <w:lang w:eastAsia="zh-CN"/>
        </w:rPr>
        <w:t xml:space="preserve">在施工</w:t>
      </w:r>
      <w:r>
        <w:rPr>
          <w:rFonts w:hint="eastAsia" w:ascii="仿宋" w:hAnsi="仿宋" w:eastAsia="仿宋" w:cs="仿宋"/>
          <w:color w:val="auto"/>
          <w:sz w:val="24"/>
          <w:szCs w:val="24"/>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按文件约定应由业主交纳的材料检测费用（含见证取样费用），渣土</w:t>
      </w:r>
      <w:r>
        <w:rPr>
          <w:rFonts w:hint="eastAsia" w:ascii="仿宋" w:hAnsi="仿宋" w:eastAsia="仿宋" w:cs="仿宋"/>
          <w:color w:val="auto"/>
          <w:sz w:val="24"/>
          <w:szCs w:val="24"/>
          <w:highlight w:val="none"/>
          <w:u w:val="single"/>
          <w:lang w:eastAsia="zh-CN"/>
        </w:rPr>
        <w:t xml:space="preserve">、电</w:t>
      </w:r>
      <w:r>
        <w:rPr>
          <w:rFonts w:hint="eastAsia" w:ascii="仿宋" w:hAnsi="仿宋" w:eastAsia="仿宋" w:cs="仿宋"/>
          <w:color w:val="auto"/>
          <w:sz w:val="24"/>
          <w:szCs w:val="24"/>
          <w:highlight w:val="none"/>
          <w:u w:val="single"/>
        </w:rPr>
        <w:t xml:space="preserve">石外运相关费用以及</w:t>
      </w:r>
      <w:r>
        <w:rPr>
          <w:rFonts w:hint="eastAsia" w:ascii="仿宋" w:hAnsi="仿宋" w:eastAsia="仿宋" w:cs="仿宋"/>
          <w:color w:val="auto"/>
          <w:sz w:val="24"/>
          <w:szCs w:val="24"/>
          <w:highlight w:val="none"/>
          <w:u w:val="single"/>
          <w:lang w:eastAsia="zh-CN"/>
        </w:rPr>
        <w:t xml:space="preserve">其他建筑</w:t>
      </w:r>
      <w:r>
        <w:rPr>
          <w:rFonts w:hint="eastAsia" w:ascii="仿宋" w:hAnsi="仿宋" w:eastAsia="仿宋" w:cs="仿宋"/>
          <w:color w:val="auto"/>
          <w:sz w:val="24"/>
          <w:szCs w:val="24"/>
          <w:highlight w:val="none"/>
          <w:u w:val="single"/>
        </w:rPr>
        <w:t xml:space="preserve">垃圾外运均由施工单位在报价中考虑并报在投标报价中，甲方决算时不在签证支付此项费用。</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4"/>
          <w:szCs w:val="24"/>
          <w:highlight w:val="none"/>
          <w:u w:val="single"/>
          <w:lang w:eastAsia="zh-CN"/>
        </w:rPr>
        <w:t xml:space="preserve">分包</w:t>
      </w:r>
      <w:r>
        <w:rPr>
          <w:rFonts w:hint="eastAsia" w:ascii="仿宋" w:hAnsi="仿宋" w:eastAsia="仿宋" w:cs="仿宋"/>
          <w:color w:val="auto"/>
          <w:sz w:val="24"/>
          <w:szCs w:val="24"/>
          <w:highlight w:val="none"/>
          <w:u w:val="single"/>
        </w:rPr>
        <w:t xml:space="preserve">含在投标报价中。</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清单中未做项目按实扣除。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本项目清单未列</w:t>
      </w:r>
      <w:r>
        <w:rPr>
          <w:rFonts w:hint="eastAsia" w:ascii="仿宋" w:hAnsi="仿宋" w:eastAsia="仿宋" w:cs="仿宋"/>
          <w:color w:val="auto"/>
          <w:sz w:val="24"/>
          <w:szCs w:val="24"/>
          <w:highlight w:val="none"/>
          <w:u w:val="single"/>
          <w:lang w:eastAsia="zh-CN"/>
        </w:rPr>
        <w:t xml:space="preserve">出的</w:t>
      </w:r>
      <w:r>
        <w:rPr>
          <w:rFonts w:hint="eastAsia" w:ascii="仿宋" w:hAnsi="仿宋" w:eastAsia="仿宋" w:cs="仿宋"/>
          <w:color w:val="auto"/>
          <w:sz w:val="24"/>
          <w:szCs w:val="24"/>
          <w:highlight w:val="none"/>
          <w:u w:val="single"/>
        </w:rPr>
        <w:t xml:space="preserve">大型机械进</w:t>
      </w:r>
      <w:r>
        <w:rPr>
          <w:rFonts w:hint="eastAsia" w:ascii="仿宋" w:hAnsi="仿宋" w:eastAsia="仿宋" w:cs="仿宋"/>
          <w:color w:val="auto"/>
          <w:sz w:val="24"/>
          <w:szCs w:val="24"/>
          <w:highlight w:val="none"/>
          <w:u w:val="single"/>
          <w:lang w:eastAsia="zh-CN"/>
        </w:rPr>
        <w:t xml:space="preserve">出口</w:t>
      </w:r>
      <w:r>
        <w:rPr>
          <w:rFonts w:hint="eastAsia" w:ascii="仿宋" w:hAnsi="仿宋" w:eastAsia="仿宋" w:cs="仿宋"/>
          <w:color w:val="auto"/>
          <w:sz w:val="24"/>
          <w:szCs w:val="24"/>
          <w:highlight w:val="none"/>
          <w:u w:val="single"/>
        </w:rPr>
        <w:t xml:space="preserve">费用均不单独立项（立项的除外）由投标人自行考虑含在投标报价中，竣工结算不调整。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4"/>
          <w:szCs w:val="24"/>
          <w:highlight w:val="none"/>
          <w:u w:val="single"/>
          <w:lang w:eastAsia="zh-CN"/>
        </w:rPr>
        <w:t xml:space="preserve">工中</w:t>
      </w:r>
      <w:r>
        <w:rPr>
          <w:rFonts w:hint="eastAsia" w:ascii="仿宋" w:hAnsi="仿宋" w:eastAsia="仿宋" w:cs="仿宋"/>
          <w:color w:val="auto"/>
          <w:sz w:val="24"/>
          <w:szCs w:val="24"/>
          <w:highlight w:val="none"/>
          <w:u w:val="single"/>
        </w:rPr>
        <w:t xml:space="preserve">因招标文件未列出项目而发生的</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相关签证。</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本清单中特征描述如与图纸中不一样，则由施工单位综合图纸说明一并纳入综合报价中，施工时须以图纸进行施工，决算不再调整。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投标报价有相同单价按相同单价，无相同单价但有类似单价可以参考类似单价，无相同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单价及类似单价的按现行定额计算后乘以下浮率确定（下浮率：中标价与招标控制价的比率）。</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4"/>
          <w:szCs w:val="24"/>
          <w:highlight w:val="none"/>
          <w:u w:val="single"/>
          <w:lang w:eastAsia="zh-CN"/>
        </w:rPr>
        <w:t xml:space="preserve">计入</w:t>
      </w:r>
      <w:r>
        <w:rPr>
          <w:rFonts w:hint="eastAsia" w:ascii="仿宋" w:hAnsi="仿宋" w:eastAsia="仿宋" w:cs="仿宋"/>
          <w:color w:val="auto"/>
          <w:sz w:val="24"/>
          <w:szCs w:val="24"/>
          <w:highlight w:val="none"/>
          <w:u w:val="single"/>
        </w:rPr>
        <w:t xml:space="preserve">报价中，形成的相关费用甲方不负责。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同投标报价人工、材料、机械以及各项措施项目费用</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89" w:name="_Toc297216213"/>
      <w:r/>
      <w:bookmarkStart w:id="490" w:name="_Toc300935004"/>
      <w:r/>
      <w:bookmarkStart w:id="491" w:name="_Toc312678042"/>
      <w:r/>
      <w:bookmarkStart w:id="492" w:name="_Toc304295581"/>
      <w:r/>
      <w:bookmarkStart w:id="493" w:name="_Toc303539161"/>
      <w:r/>
      <w:bookmarkStart w:id="494" w:name="_Toc297123554"/>
      <w:r/>
      <w:bookmarkStart w:id="495" w:name="_Toc296346708"/>
      <w:r/>
      <w:bookmarkStart w:id="496" w:name="_Toc297120507"/>
      <w:r/>
      <w:bookmarkStart w:id="497" w:name="_Toc296503207"/>
      <w:r/>
      <w:bookmarkStart w:id="498" w:name="_Toc296944546"/>
      <w:r/>
      <w:bookmarkStart w:id="499" w:name="_Toc292559917"/>
      <w:r/>
      <w:bookmarkStart w:id="500" w:name="_Toc297048393"/>
      <w:r/>
      <w:bookmarkStart w:id="501" w:name="_Toc292559412"/>
      <w:r/>
      <w:bookmarkStart w:id="502" w:name="_Toc296891247"/>
      <w:r/>
      <w:bookmarkStart w:id="503" w:name="_Toc296347206"/>
      <w:r/>
      <w:bookmarkStart w:id="504" w:name="_Toc296891035"/>
      <w:r>
        <w:rPr>
          <w:rFonts w:hint="eastAsia" w:ascii="仿宋" w:hAnsi="仿宋" w:eastAsia="仿宋" w:cs="仿宋"/>
          <w:color w:val="auto"/>
          <w:sz w:val="24"/>
          <w:szCs w:val="24"/>
          <w:highlight w:val="none"/>
        </w:rPr>
        <w:t xml:space="preserve">12.2 预付款</w:t>
      </w:r>
      <w:bookmarkEnd w:id="489"/>
      <w:r/>
      <w:bookmarkEnd w:id="490"/>
      <w:r/>
      <w:bookmarkEnd w:id="491"/>
      <w:r/>
      <w:bookmarkEnd w:id="492"/>
      <w:r/>
      <w:bookmarkEnd w:id="493"/>
      <w:r/>
      <w:bookmarkEnd w:id="49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lang w:eastAsia="zh-CN"/>
        </w:rPr>
        <w:t xml:space="preserve">：</w:t>
      </w:r>
      <w:bookmarkEnd w:id="495"/>
      <w:r/>
      <w:bookmarkEnd w:id="496"/>
      <w:r/>
      <w:bookmarkEnd w:id="497"/>
      <w:r/>
      <w:bookmarkEnd w:id="498"/>
      <w:r/>
      <w:bookmarkEnd w:id="499"/>
      <w:r/>
      <w:bookmarkEnd w:id="500"/>
      <w:r/>
      <w:bookmarkEnd w:id="501"/>
      <w:r/>
      <w:bookmarkEnd w:id="502"/>
      <w:r/>
      <w:bookmarkEnd w:id="503"/>
      <w:r/>
      <w:bookmarkEnd w:id="50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江苏省安装工程计价定额》(2014版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《江苏省市政工程计价定额》（2014版）等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关于计量周期的约定：按工程形象进度分段计量。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关于单价合同计量的约定：计量范围与要求</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①只能对工程量清单、变更工程、计日工等合同规定支付的项目计量，此范围以外的不得进行计量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②计量必须严格按合同规定的方法、范围、内容、单位进行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③工程质量未经检验或检验不合格的，不得计量；因承包人原因造成返工的工程量不予计量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④无论一般的和当地的习惯如何，除合同中另有规定，工程的计量应以净值为准。因此，属于承包人超出设计图纸范围的工程量不予计量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05" w:name="_Toc296347210"/>
      <w:r/>
      <w:bookmarkStart w:id="506" w:name="_Toc296944550"/>
      <w:r/>
      <w:bookmarkStart w:id="507" w:name="_Toc292559416"/>
      <w:r/>
      <w:bookmarkStart w:id="508" w:name="_Toc296503211"/>
      <w:r/>
      <w:bookmarkStart w:id="509" w:name="_Toc300935006"/>
      <w:r/>
      <w:bookmarkStart w:id="510" w:name="_Toc296891251"/>
      <w:r/>
      <w:bookmarkStart w:id="511" w:name="_Toc297048397"/>
      <w:r/>
      <w:bookmarkStart w:id="512" w:name="_Toc297120511"/>
      <w:r/>
      <w:bookmarkStart w:id="513" w:name="_Toc297123556"/>
      <w:r/>
      <w:bookmarkStart w:id="514" w:name="_Toc296346712"/>
      <w:r/>
      <w:bookmarkStart w:id="515" w:name="_Toc292559921"/>
      <w:r/>
      <w:bookmarkStart w:id="516" w:name="_Toc303539163"/>
      <w:r/>
      <w:bookmarkStart w:id="517" w:name="_Toc296891039"/>
      <w:r/>
      <w:bookmarkStart w:id="518" w:name="_Toc297216215"/>
      <w:r>
        <w:rPr>
          <w:rFonts w:hint="eastAsia" w:ascii="仿宋" w:hAnsi="仿宋" w:eastAsia="仿宋" w:cs="仿宋"/>
          <w:color w:val="auto"/>
          <w:sz w:val="24"/>
          <w:szCs w:val="24"/>
          <w:highlight w:val="none"/>
        </w:rPr>
        <w:t xml:space="preserve">12.4.1 付款周期</w:t>
      </w:r>
      <w:r/>
    </w:p>
    <w:p>
      <w:pPr>
        <w:ind w:firstLine="480"/>
        <w:jc w:val="left"/>
        <w:keepLines w:val="0"/>
        <w:keepNext w:val="0"/>
        <w:widowControl/>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u w:val="single"/>
          <w:lang w:val="en-US" w:eastAsia="zh-CN"/>
        </w:rPr>
        <w:t xml:space="preserve">合同签订后付合同价的40%（待工程机械、人员进场后且提供相同数额的无条件银行保函后支付），工程竣工验收合格并经审计后付至审定价的100%。</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Pr>
          <w:rFonts w:hint="eastAsia" w:ascii="仿宋" w:hAnsi="仿宋" w:eastAsia="仿宋" w:cs="仿宋"/>
          <w:color w:val="auto"/>
          <w:sz w:val="24"/>
          <w:szCs w:val="24"/>
          <w:highlight w:val="none"/>
        </w:rPr>
        <w:t xml:space="preserve">2.4.3 进度付款申请单的提交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不采用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bookmarkEnd w:id="348"/>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bookmarkStart w:id="519" w:name="_Toc280868706"/>
      <w:r/>
      <w:bookmarkStart w:id="520" w:name="_Toc280868707"/>
      <w:r/>
      <w:bookmarkStart w:id="521" w:name="_Toc280868708"/>
      <w:r/>
      <w:bookmarkStart w:id="522" w:name="_Toc267251470"/>
      <w:r/>
      <w:bookmarkStart w:id="523" w:name="_Toc267251476"/>
      <w:r/>
      <w:bookmarkStart w:id="524" w:name="_Toc267251475"/>
      <w:r/>
      <w:bookmarkStart w:id="525" w:name="_Toc267251472"/>
      <w:r/>
      <w:bookmarkStart w:id="526" w:name="_Toc267251474"/>
      <w:r/>
      <w:bookmarkStart w:id="527" w:name="_Toc280868709"/>
      <w:r/>
      <w:bookmarkStart w:id="528" w:name="_Toc267251471"/>
      <w:r/>
      <w:bookmarkStart w:id="529" w:name="_Toc267251473"/>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14天 </w:t>
      </w:r>
      <w:r/>
    </w:p>
    <w:p>
      <w:pPr>
        <w:ind w:left="0" w:firstLine="480"/>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6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支付分解表的编制</w:t>
      </w:r>
      <w:r/>
    </w:p>
    <w:p>
      <w:pPr>
        <w:ind w:left="4320" w:hanging="432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总价合同支付分解表的编制与审批：</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left="4320" w:hanging="4320"/>
        <w:jc w:val="left"/>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单价合同的总价项目支付分解表的编制与审批：</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30" w:name="_Toc296891259"/>
      <w:r/>
      <w:bookmarkStart w:id="531" w:name="_Toc297048405"/>
      <w:r/>
      <w:bookmarkStart w:id="532" w:name="_Toc296503219"/>
      <w:r/>
      <w:bookmarkStart w:id="533" w:name="_Toc296891047"/>
      <w:r/>
      <w:bookmarkStart w:id="534" w:name="_Toc303539172"/>
      <w:r/>
      <w:bookmarkStart w:id="535" w:name="_Toc297123564"/>
      <w:r/>
      <w:bookmarkStart w:id="536" w:name="_Toc296346720"/>
      <w:r/>
      <w:bookmarkStart w:id="537" w:name="_Toc297120519"/>
      <w:r/>
      <w:bookmarkStart w:id="538" w:name="_Toc292559929"/>
      <w:r/>
      <w:bookmarkStart w:id="539" w:name="_Toc304295593"/>
      <w:r/>
      <w:bookmarkStart w:id="540" w:name="_Toc292559424"/>
      <w:r/>
      <w:bookmarkStart w:id="541" w:name="_Toc296347218"/>
      <w:r/>
      <w:bookmarkStart w:id="542" w:name="_Toc297216223"/>
      <w:r/>
      <w:bookmarkStart w:id="543" w:name="_Toc351203645"/>
      <w:r/>
      <w:bookmarkStart w:id="544" w:name="_Toc312678053"/>
      <w:r/>
      <w:bookmarkStart w:id="545" w:name="_Toc300935015"/>
      <w:r/>
      <w:bookmarkStart w:id="546" w:name="_Toc296944558"/>
      <w:r>
        <w:rPr>
          <w:rFonts w:hint="eastAsia" w:ascii="仿宋" w:hAnsi="仿宋" w:eastAsia="仿宋" w:cs="仿宋"/>
          <w:b w:val="0"/>
          <w:color w:val="auto"/>
          <w:sz w:val="24"/>
          <w:szCs w:val="24"/>
          <w:highlight w:val="none"/>
        </w:rPr>
        <w:t xml:space="preserve">13. 验收和工程试车</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547" w:name="_Toc297048409"/>
      <w:r/>
      <w:bookmarkStart w:id="548" w:name="_Toc297216224"/>
      <w:r/>
      <w:bookmarkStart w:id="549" w:name="_Toc292559428"/>
      <w:r/>
      <w:bookmarkStart w:id="550" w:name="_Toc297120523"/>
      <w:r/>
      <w:bookmarkStart w:id="551" w:name="_Toc296891051"/>
      <w:r/>
      <w:bookmarkStart w:id="552" w:name="_Toc296944562"/>
      <w:r/>
      <w:bookmarkStart w:id="553" w:name="_Toc304295596"/>
      <w:r/>
      <w:bookmarkStart w:id="554" w:name="_Toc312678056"/>
      <w:r/>
      <w:bookmarkStart w:id="555" w:name="_Toc297123565"/>
      <w:r/>
      <w:bookmarkStart w:id="556" w:name="_Toc296347222"/>
      <w:r/>
      <w:bookmarkStart w:id="557" w:name="_Toc296891263"/>
      <w:r/>
      <w:bookmarkStart w:id="558" w:name="_Toc296346724"/>
      <w:r/>
      <w:bookmarkStart w:id="559" w:name="_Toc303539173"/>
      <w:r/>
      <w:bookmarkStart w:id="560" w:name="_Toc300935016"/>
      <w:r/>
      <w:bookmarkStart w:id="561" w:name="_Toc296503223"/>
      <w:r/>
      <w:bookmarkStart w:id="562" w:name="_Toc292559933"/>
      <w:r>
        <w:rPr>
          <w:rFonts w:hint="eastAsia" w:ascii="仿宋" w:hAnsi="仿宋" w:eastAsia="仿宋" w:cs="仿宋"/>
          <w:color w:val="auto"/>
          <w:sz w:val="24"/>
          <w:szCs w:val="24"/>
          <w:highlight w:val="none"/>
        </w:rPr>
        <w:t xml:space="preserve">13.2 竣工验收</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63" w:name="_Toc280868704"/>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竣工验收程序</w:t>
      </w:r>
      <w:bookmarkEnd w:id="56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按管理部门有关要求，</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 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w:t>
      </w:r>
      <w:r>
        <w:rPr>
          <w:rFonts w:hint="eastAsia" w:ascii="仿宋" w:hAnsi="仿宋" w:eastAsia="仿宋" w:cs="仿宋"/>
          <w:color w:val="auto"/>
          <w:sz w:val="24"/>
          <w:szCs w:val="24"/>
          <w:highlight w:val="none"/>
          <w:lang w:eastAsia="zh-CN"/>
        </w:rPr>
        <w:t xml:space="preserve">工程验收</w:t>
      </w:r>
      <w:r>
        <w:rPr>
          <w:rFonts w:hint="eastAsia" w:ascii="仿宋" w:hAnsi="仿宋" w:eastAsia="仿宋" w:cs="仿宋"/>
          <w:color w:val="auto"/>
          <w:sz w:val="24"/>
          <w:szCs w:val="24"/>
          <w:highlight w:val="none"/>
        </w:rPr>
        <w:t xml:space="preserve">证书的违约金的计算方法：</w:t>
      </w:r>
      <w:r>
        <w:rPr>
          <w:rFonts w:hint="eastAsia" w:ascii="仿宋" w:hAnsi="仿宋" w:eastAsia="仿宋" w:cs="仿宋"/>
          <w:color w:val="auto"/>
          <w:sz w:val="24"/>
          <w:szCs w:val="24"/>
          <w:highlight w:val="none"/>
          <w:u w:val="single"/>
        </w:rPr>
        <w:t xml:space="preserve">本条通用合同条款不适用该项目</w:t>
      </w:r>
      <w:r>
        <w:rPr>
          <w:rFonts w:hint="eastAsia" w:ascii="仿宋" w:hAnsi="仿宋" w:eastAsia="仿宋" w:cs="仿宋"/>
          <w:color w:val="auto"/>
          <w:sz w:val="24"/>
          <w:szCs w:val="24"/>
          <w:highlight w:val="none"/>
        </w:rPr>
        <w:t xml:space="preserve">。</w:t>
      </w:r>
      <w:bookmarkEnd w:id="519"/>
      <w:r/>
      <w:bookmarkEnd w:id="52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移交、接收全部与部分工程</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每逾期一天，承包人应向发包人支付合同价的千分之一的违约金，并赔偿由此给发包人造成的各种损失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投料试车</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4"/>
          <w:szCs w:val="24"/>
          <w:highlight w:val="none"/>
        </w:rPr>
        <w:t xml:space="preserve">。</w:t>
      </w:r>
      <w:bookmarkEnd w:id="522"/>
      <w:r/>
      <w:bookmarkEnd w:id="523"/>
      <w:r/>
      <w:bookmarkEnd w:id="524"/>
      <w:r/>
      <w:bookmarkEnd w:id="525"/>
      <w:r/>
      <w:bookmarkEnd w:id="526"/>
      <w:r/>
      <w:bookmarkEnd w:id="527"/>
      <w:r/>
      <w:bookmarkEnd w:id="528"/>
      <w:r/>
      <w:bookmarkEnd w:id="529"/>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4" w:name="_Toc351203646"/>
      <w:r>
        <w:rPr>
          <w:rFonts w:hint="eastAsia" w:ascii="仿宋" w:hAnsi="仿宋" w:eastAsia="仿宋" w:cs="仿宋"/>
          <w:b w:val="0"/>
          <w:color w:val="auto"/>
          <w:sz w:val="24"/>
          <w:szCs w:val="24"/>
          <w:highlight w:val="none"/>
        </w:rPr>
        <w:t xml:space="preserve">14. 竣工结算</w:t>
      </w:r>
      <w:bookmarkEnd w:id="56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满足专用合同条款第12.4.1项〔付款周期〕中相应时间节点要求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4"/>
          <w:szCs w:val="24"/>
          <w:highlight w:val="none"/>
          <w:u w:val="single"/>
          <w:lang w:val="en-US" w:eastAsia="zh-CN"/>
        </w:rPr>
        <w:t xml:space="preserve">馆</w:t>
      </w:r>
      <w:r>
        <w:rPr>
          <w:rFonts w:hint="eastAsia" w:ascii="仿宋" w:hAnsi="仿宋" w:eastAsia="仿宋" w:cs="仿宋"/>
          <w:color w:val="auto"/>
          <w:sz w:val="24"/>
          <w:szCs w:val="24"/>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65" w:name="_Toc5448"/>
      <w:r/>
      <w:bookmarkStart w:id="566" w:name="_Toc20146"/>
      <w:r>
        <w:rPr>
          <w:rFonts w:hint="eastAsia" w:ascii="仿宋" w:hAnsi="仿宋" w:eastAsia="仿宋" w:cs="仿宋"/>
          <w:color w:val="auto"/>
          <w:sz w:val="24"/>
          <w:szCs w:val="24"/>
          <w:highlight w:val="none"/>
        </w:rPr>
        <w:t xml:space="preserve">14.2 竣工结算审核</w:t>
      </w:r>
      <w:bookmarkEnd w:id="565"/>
      <w:r/>
      <w:bookmarkEnd w:id="566"/>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按照第20条〔争议解决〕约定处理 </w:t>
      </w:r>
      <w:r>
        <w:rPr>
          <w:rFonts w:hint="eastAsia" w:ascii="仿宋" w:hAnsi="仿宋" w:eastAsia="仿宋" w:cs="仿宋"/>
          <w:color w:val="auto"/>
          <w:sz w:val="24"/>
          <w:szCs w:val="24"/>
          <w:highlight w:val="none"/>
        </w:rPr>
        <w:t xml:space="preserve">。</w:t>
      </w:r>
      <w:r/>
    </w:p>
    <w:p>
      <w:pPr>
        <w:numPr>
          <w:ilvl w:val="0"/>
          <w:numId w:val="6"/>
        </w:num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最终结清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最终结清申请单</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不少于4份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 最终结清证书和支付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7" w:name="_Toc351203647"/>
      <w:r/>
      <w:bookmarkStart w:id="568" w:name="_Toc267251483"/>
      <w:r/>
      <w:bookmarkStart w:id="569" w:name="_Toc267251482"/>
      <w:r/>
      <w:bookmarkStart w:id="570" w:name="_Toc267251484"/>
      <w:r/>
      <w:bookmarkStart w:id="571" w:name="_Toc267251485"/>
      <w:r/>
      <w:bookmarkStart w:id="572" w:name="_Toc267251489"/>
      <w:r/>
      <w:bookmarkStart w:id="573" w:name="_Toc267251490"/>
      <w:r/>
      <w:bookmarkStart w:id="574" w:name="_Toc267251488"/>
      <w:r/>
      <w:bookmarkStart w:id="575" w:name="_Toc267251486"/>
      <w:r/>
      <w:bookmarkStart w:id="576" w:name="_Toc267251501"/>
      <w:r/>
      <w:bookmarkStart w:id="577" w:name="_Toc267251493"/>
      <w:r/>
      <w:bookmarkStart w:id="578" w:name="_Toc267251502"/>
      <w:r/>
      <w:bookmarkStart w:id="579" w:name="_Toc267251495"/>
      <w:r/>
      <w:bookmarkStart w:id="580" w:name="_Toc267251494"/>
      <w:r/>
      <w:bookmarkStart w:id="581" w:name="_Toc267251492"/>
      <w:r/>
      <w:bookmarkStart w:id="582" w:name="_Toc267251503"/>
      <w:r/>
      <w:bookmarkStart w:id="583" w:name="_Toc267251498"/>
      <w:r/>
      <w:bookmarkStart w:id="584" w:name="_Toc267251499"/>
      <w:r/>
      <w:bookmarkStart w:id="585" w:name="_Toc267251496"/>
      <w:r/>
      <w:bookmarkStart w:id="586" w:name="_Toc267251491"/>
      <w:r/>
      <w:bookmarkStart w:id="587" w:name="_Toc267251497"/>
      <w:r/>
      <w:bookmarkStart w:id="588" w:name="_Toc267251504"/>
      <w:r/>
      <w:bookmarkStart w:id="589" w:name="_Toc267251506"/>
      <w:r/>
      <w:bookmarkStart w:id="590" w:name="_Toc267251507"/>
      <w:r/>
      <w:bookmarkStart w:id="591" w:name="_Toc267251508"/>
      <w:r/>
      <w:bookmarkStart w:id="592" w:name="_Toc267251511"/>
      <w:r/>
      <w:bookmarkStart w:id="593" w:name="_Toc267251510"/>
      <w:r/>
      <w:bookmarkStart w:id="594" w:name="_Toc267251513"/>
      <w:r/>
      <w:bookmarkStart w:id="595" w:name="_Toc267251515"/>
      <w:r/>
      <w:bookmarkStart w:id="596" w:name="_Toc267251509"/>
      <w:r/>
      <w:bookmarkStart w:id="597" w:name="_Toc267251514"/>
      <w:r>
        <w:rPr>
          <w:rFonts w:hint="eastAsia" w:ascii="仿宋" w:hAnsi="仿宋" w:eastAsia="仿宋" w:cs="仿宋"/>
          <w:b w:val="0"/>
          <w:color w:val="auto"/>
          <w:sz w:val="24"/>
          <w:szCs w:val="24"/>
          <w:highlight w:val="none"/>
        </w:rPr>
        <w:t xml:space="preserve">15. 缺陷责任期与保修</w:t>
      </w:r>
      <w:bookmarkEnd w:id="56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缺陷责任期</w:t>
      </w:r>
      <w:bookmarkEnd w:id="568"/>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98" w:name="_Toc19685"/>
      <w:r/>
      <w:bookmarkStart w:id="599" w:name="_Toc3993"/>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质量保证金</w:t>
      </w:r>
      <w:bookmarkEnd w:id="598"/>
      <w:r/>
      <w:bookmarkEnd w:id="59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0" w:name="_Toc5826"/>
      <w:r/>
      <w:bookmarkStart w:id="601" w:name="_Toc18867"/>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承包人提供质量保证金的方式</w:t>
      </w:r>
      <w:bookmarkEnd w:id="600"/>
      <w:r/>
      <w:bookmarkEnd w:id="60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%的工程款；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2" w:name="_Toc16068"/>
      <w:r/>
      <w:bookmarkStart w:id="603" w:name="_Toc23845"/>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质量保证金的扣留</w:t>
      </w:r>
      <w:bookmarkEnd w:id="602"/>
      <w:r/>
      <w:bookmarkEnd w:id="603"/>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4" w:name="_Toc28386"/>
      <w:r/>
      <w:bookmarkStart w:id="605" w:name="_Toc29954"/>
      <w:r>
        <w:rPr>
          <w:rFonts w:hint="eastAsia" w:ascii="仿宋" w:hAnsi="仿宋" w:eastAsia="仿宋" w:cs="仿宋"/>
          <w:color w:val="auto"/>
          <w:sz w:val="24"/>
          <w:szCs w:val="24"/>
          <w:highlight w:val="none"/>
        </w:rPr>
        <w:t xml:space="preserve">（2）工程竣工结算时一次性扣留质量保证金；</w:t>
      </w:r>
      <w:bookmarkEnd w:id="604"/>
      <w:r/>
      <w:bookmarkEnd w:id="60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69"/>
      <w:r/>
      <w:bookmarkEnd w:id="5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1"/>
      </w:pPr>
      <w:r/>
      <w:bookmarkStart w:id="606" w:name="_Toc31564"/>
      <w:r/>
      <w:bookmarkStart w:id="607" w:name="_Toc12417"/>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保修</w:t>
      </w:r>
      <w:bookmarkEnd w:id="571"/>
      <w:r/>
      <w:bookmarkEnd w:id="606"/>
      <w:r/>
      <w:bookmarkEnd w:id="607"/>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保修责任</w:t>
      </w:r>
      <w:r/>
    </w:p>
    <w:p>
      <w:pPr>
        <w:ind w:firstLine="480"/>
        <w:jc w:val="both"/>
        <w:pageBreakBefore w:val="0"/>
        <w:spacing w:line="3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lang w:val="en-US" w:eastAsia="zh-CN"/>
        </w:rPr>
        <w:t xml:space="preserve">满足规范要求（见附件1建设工程质量保修书） </w:t>
      </w:r>
      <w:r>
        <w:rPr>
          <w:rFonts w:hint="eastAsia" w:ascii="仿宋" w:hAnsi="仿宋" w:eastAsia="仿宋" w:cs="仿宋"/>
          <w:color w:val="auto"/>
          <w:sz w:val="24"/>
          <w:szCs w:val="24"/>
          <w:highlight w:val="none"/>
          <w:u w:val="none"/>
          <w:lang w:val="en-US" w:eastAsia="zh-CN"/>
        </w:rPr>
        <w:t xml:space="preserve">。</w:t>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修复通知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承包人应在接到修理通知之日后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4"/>
          <w:szCs w:val="24"/>
          <w:highlight w:val="none"/>
        </w:rPr>
        <w:t xml:space="preserve">。</w:t>
      </w:r>
      <w:r/>
    </w:p>
    <w:p>
      <w:pPr>
        <w:ind w:left="0" w:firstLine="468"/>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发生紧急抢修事故的，承包人在接到事故通知后，应立即到达事故现场抢修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bookmarkEnd w:id="572"/>
      <w:r/>
      <w:bookmarkEnd w:id="573"/>
      <w:r/>
      <w:bookmarkEnd w:id="574"/>
      <w:r/>
      <w:bookmarkEnd w:id="575"/>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08" w:name="_Toc18348"/>
      <w:r/>
      <w:bookmarkStart w:id="609" w:name="_Toc351203648"/>
      <w:r/>
      <w:bookmarkStart w:id="610" w:name="_Toc45"/>
      <w:r/>
      <w:bookmarkStart w:id="611" w:name="_Toc280868717"/>
      <w:r/>
      <w:bookmarkStart w:id="612" w:name="_Toc280868718"/>
      <w:r>
        <w:rPr>
          <w:rFonts w:hint="eastAsia" w:ascii="仿宋" w:hAnsi="仿宋" w:eastAsia="仿宋" w:cs="仿宋"/>
          <w:b w:val="0"/>
          <w:color w:val="auto"/>
          <w:sz w:val="24"/>
          <w:szCs w:val="24"/>
          <w:highlight w:val="none"/>
        </w:rPr>
        <w:t xml:space="preserve">16. 违约</w:t>
      </w:r>
      <w:bookmarkEnd w:id="608"/>
      <w:r/>
      <w:bookmarkEnd w:id="609"/>
      <w:r/>
      <w:bookmarkEnd w:id="61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3" w:name="_Toc27749"/>
      <w:r/>
      <w:bookmarkStart w:id="614" w:name="_Toc12762"/>
      <w:r>
        <w:rPr>
          <w:rFonts w:hint="eastAsia" w:ascii="仿宋" w:hAnsi="仿宋" w:eastAsia="仿宋" w:cs="仿宋"/>
          <w:color w:val="auto"/>
          <w:sz w:val="24"/>
          <w:szCs w:val="24"/>
          <w:highlight w:val="none"/>
        </w:rPr>
        <w:t xml:space="preserve">16.1 发包人违约</w:t>
      </w:r>
      <w:bookmarkEnd w:id="613"/>
      <w:r/>
      <w:bookmarkEnd w:id="61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16.1.2 发包人违约的责任</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工期顺延但不补偿费用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发生时双方另行商定，但不</w:t>
      </w:r>
      <w:r>
        <w:rPr>
          <w:rFonts w:hint="eastAsia" w:ascii="仿宋" w:hAnsi="仿宋" w:eastAsia="仿宋" w:cs="仿宋"/>
          <w:color w:val="auto"/>
          <w:sz w:val="24"/>
          <w:szCs w:val="24"/>
          <w:highlight w:val="none"/>
          <w:u w:val="single"/>
          <w:lang w:eastAsia="zh-CN"/>
        </w:rPr>
        <w:t xml:space="preserve">计</w:t>
      </w:r>
      <w:r>
        <w:rPr>
          <w:rFonts w:hint="eastAsia" w:ascii="仿宋" w:hAnsi="仿宋" w:eastAsia="仿宋" w:cs="仿宋"/>
          <w:color w:val="auto"/>
          <w:sz w:val="24"/>
          <w:szCs w:val="24"/>
          <w:highlight w:val="none"/>
          <w:u w:val="single"/>
        </w:rPr>
        <w:t xml:space="preserve">取延期利息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180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5" w:name="_Toc24530"/>
      <w:r/>
      <w:bookmarkStart w:id="616" w:name="_Toc10753"/>
      <w:r>
        <w:rPr>
          <w:rFonts w:hint="eastAsia" w:ascii="仿宋" w:hAnsi="仿宋" w:eastAsia="仿宋" w:cs="仿宋"/>
          <w:color w:val="auto"/>
          <w:sz w:val="24"/>
          <w:szCs w:val="24"/>
          <w:highlight w:val="none"/>
        </w:rPr>
        <w:t xml:space="preserve">16.2 承包人违约</w:t>
      </w:r>
      <w:bookmarkEnd w:id="615"/>
      <w:r/>
      <w:bookmarkEnd w:id="61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（2）因承包人原因被责令停工和返工的，除无条件及时整改外，承包人须向发包人支付违约金不低于20000元/次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（3）因承包人提供的竣工资料原因影响工程正常竣工验收的，每延迟一天，承包人应向发包人支付1000元的违约金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后续工程延期费用，并承担由此给发包人所造成的经济损失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4"/>
          <w:szCs w:val="24"/>
          <w:highlight w:val="none"/>
          <w:u w:val="singl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4"/>
          <w:szCs w:val="24"/>
          <w:highlight w:val="none"/>
          <w:u w:val="single"/>
          <w:lang w:eastAsia="zh-CN"/>
        </w:rPr>
        <w:t xml:space="preserve">经</w:t>
      </w:r>
      <w:r>
        <w:rPr>
          <w:rFonts w:hint="eastAsia" w:ascii="仿宋" w:hAnsi="仿宋" w:eastAsia="仿宋" w:cs="仿宋"/>
          <w:color w:val="auto"/>
          <w:sz w:val="24"/>
          <w:szCs w:val="24"/>
          <w:highlight w:val="none"/>
          <w:u w:val="single"/>
        </w:rPr>
        <w:t xml:space="preserve">发包人和监理工程师共同签证核对即自行采购材料和工程设备，后再</w:t>
      </w:r>
      <w:r>
        <w:rPr>
          <w:rFonts w:hint="eastAsia" w:ascii="仿宋" w:hAnsi="仿宋" w:eastAsia="仿宋" w:cs="仿宋"/>
          <w:color w:val="auto"/>
          <w:sz w:val="24"/>
          <w:szCs w:val="24"/>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s="仿宋"/>
          <w:color w:val="auto"/>
          <w:sz w:val="24"/>
          <w:szCs w:val="24"/>
          <w:highlight w:val="none"/>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违约处罚条款继续有效。</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4"/>
          <w:szCs w:val="24"/>
          <w:highlight w:val="none"/>
          <w:u w:val="single"/>
          <w:lang w:eastAsia="zh-CN"/>
        </w:rPr>
        <w:t xml:space="preserve">视为</w:t>
      </w:r>
      <w:r>
        <w:rPr>
          <w:rFonts w:hint="eastAsia" w:ascii="仿宋" w:hAnsi="仿宋" w:eastAsia="仿宋" w:cs="仿宋"/>
          <w:color w:val="auto"/>
          <w:sz w:val="24"/>
          <w:szCs w:val="24"/>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4"/>
          <w:szCs w:val="24"/>
          <w:highlight w:val="none"/>
          <w:u w:val="single"/>
          <w:lang w:eastAsia="zh-CN"/>
        </w:rPr>
        <w:t xml:space="preserve">其他类似</w:t>
      </w:r>
      <w:r>
        <w:rPr>
          <w:rFonts w:hint="eastAsia" w:ascii="仿宋" w:hAnsi="仿宋" w:eastAsia="仿宋" w:cs="仿宋"/>
          <w:color w:val="auto"/>
          <w:sz w:val="24"/>
          <w:szCs w:val="24"/>
          <w:highlight w:val="none"/>
          <w:u w:val="single"/>
        </w:rPr>
        <w:t xml:space="preserve">情况。</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（11）在施工过程、工程移交中以及质量保修期内，由于承包人原因出现的质量问题、安全事故或</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（12）工程竣工验收合格后7日内，承包人应将工程交付发包人，每延迟一天承包人交纳合同总价千分之一违约金，延期超过15天的视承包人违约，发包人有权单方解除合同，自行接收工程。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（15）在履行合同过程中，因承包人违约必须用现金向发包人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违约金，如承包人不及时</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违约金，责任由承包人承担，发包人有权拒付工程款，或从当期工程款或履约保证金中双倍扣回。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 </w:t>
      </w:r>
      <w:r>
        <w:rPr>
          <w:rFonts w:hint="eastAsia" w:ascii="仿宋" w:hAnsi="仿宋" w:eastAsia="仿宋" w:cs="仿宋"/>
          <w:color w:val="auto"/>
          <w:sz w:val="24"/>
          <w:szCs w:val="24"/>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万元，违约金不足以赔偿因此而给发包人和相关第三方造成的全部经济损失，需</w:t>
      </w:r>
      <w:r>
        <w:rPr>
          <w:rFonts w:hint="eastAsia" w:ascii="仿宋" w:hAnsi="仿宋" w:eastAsia="仿宋" w:cs="仿宋"/>
          <w:color w:val="auto"/>
          <w:sz w:val="24"/>
          <w:szCs w:val="24"/>
          <w:highlight w:val="none"/>
          <w:u w:val="single"/>
          <w:lang w:eastAsia="zh-CN"/>
        </w:rPr>
        <w:t xml:space="preserve">赔偿</w:t>
      </w:r>
      <w:r>
        <w:rPr>
          <w:rFonts w:hint="eastAsia" w:ascii="仿宋" w:hAnsi="仿宋" w:eastAsia="仿宋" w:cs="仿宋"/>
          <w:color w:val="auto"/>
          <w:sz w:val="24"/>
          <w:szCs w:val="24"/>
          <w:highlight w:val="none"/>
          <w:u w:val="single"/>
        </w:rPr>
        <w:t xml:space="preserve">实际损失</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承包人承担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17" w:name="_Toc351203649"/>
      <w:r/>
      <w:bookmarkStart w:id="618" w:name="_Toc16669"/>
      <w:r/>
      <w:bookmarkStart w:id="619" w:name="_Toc28293"/>
      <w:r>
        <w:rPr>
          <w:rFonts w:hint="eastAsia" w:ascii="仿宋" w:hAnsi="仿宋" w:eastAsia="仿宋" w:cs="仿宋"/>
          <w:b w:val="0"/>
          <w:color w:val="auto"/>
          <w:sz w:val="24"/>
          <w:szCs w:val="24"/>
          <w:highlight w:val="none"/>
        </w:rPr>
        <w:t xml:space="preserve">17. 不可抗力</w:t>
      </w:r>
      <w:bookmarkEnd w:id="617"/>
      <w:r/>
      <w:bookmarkEnd w:id="618"/>
      <w:r/>
      <w:bookmarkEnd w:id="619"/>
      <w:r>
        <w:rPr>
          <w:rFonts w:hint="eastAsia" w:ascii="仿宋" w:hAnsi="仿宋" w:eastAsia="仿宋" w:cs="仿宋"/>
          <w:b w:val="0"/>
          <w:color w:val="auto"/>
          <w:sz w:val="24"/>
          <w:szCs w:val="24"/>
          <w:highlight w:val="none"/>
        </w:rPr>
        <w:t xml:space="preserve"> </w:t>
      </w:r>
      <w:bookmarkEnd w:id="61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4"/>
          <w:szCs w:val="24"/>
          <w:highlight w:val="none"/>
          <w:u w:val="single"/>
          <w:lang w:eastAsia="zh-CN"/>
        </w:rPr>
        <w:t xml:space="preserve">超声速</w:t>
      </w:r>
      <w:r>
        <w:rPr>
          <w:rFonts w:hint="eastAsia" w:ascii="仿宋" w:hAnsi="仿宋" w:eastAsia="仿宋" w:cs="仿宋"/>
          <w:color w:val="auto"/>
          <w:sz w:val="24"/>
          <w:szCs w:val="24"/>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0" w:name="_Toc32533"/>
      <w:r/>
      <w:bookmarkStart w:id="621" w:name="_Toc26340"/>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因不可抗力解除合同</w:t>
      </w:r>
      <w:bookmarkEnd w:id="620"/>
      <w:r/>
      <w:bookmarkEnd w:id="6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2" w:name="_Toc12850"/>
      <w:r/>
      <w:bookmarkStart w:id="623" w:name="_Toc30034"/>
      <w:r/>
      <w:bookmarkStart w:id="624" w:name="_Toc351203650"/>
      <w:r>
        <w:rPr>
          <w:rFonts w:hint="eastAsia" w:ascii="仿宋" w:hAnsi="仿宋" w:eastAsia="仿宋" w:cs="仿宋"/>
          <w:b w:val="0"/>
          <w:color w:val="auto"/>
          <w:sz w:val="24"/>
          <w:szCs w:val="24"/>
          <w:highlight w:val="none"/>
        </w:rPr>
        <w:t xml:space="preserve">18. 保险</w:t>
      </w:r>
      <w:bookmarkEnd w:id="612"/>
      <w:r/>
      <w:bookmarkEnd w:id="622"/>
      <w:r/>
      <w:bookmarkEnd w:id="623"/>
      <w:r/>
      <w:bookmarkEnd w:id="62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承担合同履行期间所有按规定投保的内容。承包人必须为从事危险作业的职工办理意外伤害保险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5" w:name="_Toc24691"/>
      <w:r/>
      <w:bookmarkStart w:id="626" w:name="_Toc16674"/>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其他保险</w:t>
      </w:r>
      <w:bookmarkEnd w:id="625"/>
      <w:r/>
      <w:bookmarkEnd w:id="6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承包人需为其施工现场的全部人员办理社会保险并支付保险费，包括</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员工及为履行合同聘请的第三方的人员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 xml:space="preserve">。</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7" w:name="_Toc351203651"/>
      <w:r/>
      <w:bookmarkStart w:id="628" w:name="_Toc21836"/>
      <w:r/>
      <w:bookmarkStart w:id="629" w:name="_Toc23778"/>
      <w:r>
        <w:rPr>
          <w:rFonts w:hint="eastAsia" w:ascii="仿宋" w:hAnsi="仿宋" w:eastAsia="仿宋" w:cs="仿宋"/>
          <w:b w:val="0"/>
          <w:color w:val="auto"/>
          <w:sz w:val="24"/>
          <w:szCs w:val="24"/>
          <w:highlight w:val="none"/>
          <w:lang w:val="en-US" w:eastAsia="zh-CN"/>
        </w:rPr>
        <w:t xml:space="preserve">19</w:t>
      </w:r>
      <w:r>
        <w:rPr>
          <w:rFonts w:hint="eastAsia" w:ascii="仿宋" w:hAnsi="仿宋" w:eastAsia="仿宋" w:cs="仿宋"/>
          <w:b w:val="0"/>
          <w:color w:val="auto"/>
          <w:sz w:val="24"/>
          <w:szCs w:val="24"/>
          <w:highlight w:val="none"/>
        </w:rPr>
        <w:t xml:space="preserve">. 争议解决</w:t>
      </w:r>
      <w:bookmarkEnd w:id="588"/>
      <w:r/>
      <w:bookmarkEnd w:id="589"/>
      <w:r/>
      <w:bookmarkEnd w:id="627"/>
      <w:r/>
      <w:bookmarkEnd w:id="628"/>
      <w:r/>
      <w:bookmarkEnd w:id="62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0" w:name="_Toc27376"/>
      <w:r/>
      <w:bookmarkStart w:id="631" w:name="_Toc2673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争</w:t>
      </w:r>
      <w:bookmarkEnd w:id="590"/>
      <w:r>
        <w:rPr>
          <w:rFonts w:hint="eastAsia" w:ascii="仿宋" w:hAnsi="仿宋" w:eastAsia="仿宋" w:cs="仿宋"/>
          <w:color w:val="auto"/>
          <w:sz w:val="24"/>
          <w:szCs w:val="24"/>
          <w:highlight w:val="none"/>
        </w:rPr>
        <w:t xml:space="preserve">议评审</w:t>
      </w:r>
      <w:bookmarkEnd w:id="630"/>
      <w:r/>
      <w:bookmarkEnd w:id="631"/>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2" w:name="_Toc23775"/>
      <w:r/>
      <w:bookmarkStart w:id="633" w:name="_Toc11235"/>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争议评审小组的确定</w:t>
      </w:r>
      <w:bookmarkEnd w:id="632"/>
      <w:r/>
      <w:bookmarkEnd w:id="633"/>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4" w:name="_Toc24576"/>
      <w:r/>
      <w:bookmarkStart w:id="635" w:name="_Toc208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争议评审小组的决定</w:t>
      </w:r>
      <w:bookmarkEnd w:id="634"/>
      <w:r/>
      <w:bookmarkEnd w:id="63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w:t>
      </w:r>
      <w:r>
        <w:rPr>
          <w:rFonts w:hint="eastAsia" w:ascii="仿宋" w:hAnsi="仿宋" w:eastAsia="仿宋" w:cs="仿宋"/>
          <w:color w:val="auto"/>
          <w:sz w:val="24"/>
          <w:szCs w:val="24"/>
          <w:highlight w:val="none"/>
          <w:lang w:eastAsia="zh-CN"/>
        </w:rPr>
        <w:t xml:space="preserve">本事</w:t>
      </w:r>
      <w:r>
        <w:rPr>
          <w:rFonts w:hint="eastAsia" w:ascii="仿宋" w:hAnsi="仿宋" w:eastAsia="仿宋" w:cs="仿宋"/>
          <w:color w:val="auto"/>
          <w:sz w:val="24"/>
          <w:szCs w:val="24"/>
          <w:highlight w:val="none"/>
        </w:rPr>
        <w:t xml:space="preserve">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6" w:name="_Toc14174"/>
      <w:r/>
      <w:bookmarkStart w:id="637" w:name="_Toc13519"/>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仲裁或诉讼</w:t>
      </w:r>
      <w:bookmarkEnd w:id="591"/>
      <w:r/>
      <w:bookmarkEnd w:id="636"/>
      <w:r/>
      <w:bookmarkEnd w:id="63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种方式解决：</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盱眙县      </w:t>
      </w:r>
      <w:r>
        <w:rPr>
          <w:rFonts w:hint="eastAsia" w:ascii="仿宋" w:hAnsi="仿宋" w:eastAsia="仿宋" w:cs="仿宋"/>
          <w:color w:val="auto"/>
          <w:sz w:val="24"/>
          <w:szCs w:val="24"/>
          <w:highlight w:val="none"/>
        </w:rPr>
        <w:t xml:space="preserve">人民法院起诉。</w:t>
      </w:r>
      <w:bookmarkEnd w:id="592"/>
      <w:r/>
      <w:bookmarkEnd w:id="593"/>
      <w:r/>
      <w:bookmarkEnd w:id="594"/>
      <w:r/>
      <w:bookmarkEnd w:id="595"/>
      <w:r/>
      <w:bookmarkEnd w:id="596"/>
      <w:r/>
      <w:bookmarkEnd w:id="59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 补充条款：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1、承包人擅自停工的，发包人有权单方解除合同或安排其他施工队进场施工，施工费用从承包人工程款中扣除。如承包人擅自停工对发包人造成的损失，由承包人承担。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2、承包人施工进度缓慢或消极怠工，发包人或监理人认为承包人无法在合同工期内完成，发包人有权另行安排施工队进场施工，施工费用从承包人工程款中扣除。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3、承包人必须服从现场甲方代表、监理的协调指挥，不得野蛮施工。如三次书面警告无效后，发包人可单方解除合同。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4、承包人必须严格按照设计文件进行施工，所用材料必须符合相关设计及规范要求，严禁使用劣质产品，如经发现必须无条件返工。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5、承包人不得以任何理由煽动施工人员攻击公务人员或行政机关，如有发现发包人可单方解除合同。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7、审计核减金额超出送审金额的5%，所有审计费均由承包人承担。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8、承包人承担所有材料检测费用。</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发包人、承包人根据《中华人民共和国建筑法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建设工程质量管理条例》和《房屋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质量保修办法》，经协商一致，对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（工程全称）</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工程质量保修书。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承包人在质量保修期内，按照有关</w:t>
      </w:r>
      <w:r>
        <w:rPr>
          <w:rFonts w:hint="eastAsia" w:ascii="仿宋" w:hAnsi="仿宋" w:eastAsia="仿宋" w:cs="仿宋"/>
          <w:bCs/>
          <w:color w:val="auto"/>
          <w:sz w:val="24"/>
          <w:szCs w:val="24"/>
          <w:highlight w:val="none"/>
          <w:lang w:eastAsia="zh-CN"/>
        </w:rPr>
        <w:t xml:space="preserve">法律法规</w:t>
      </w:r>
      <w:r>
        <w:rPr>
          <w:rFonts w:hint="eastAsia" w:ascii="仿宋" w:hAnsi="仿宋" w:eastAsia="仿宋" w:cs="仿宋"/>
          <w:bCs/>
          <w:color w:val="auto"/>
          <w:sz w:val="24"/>
          <w:szCs w:val="24"/>
          <w:highlight w:val="none"/>
        </w:rPr>
        <w:t xml:space="preserve">、规章的管理规定和双方约定，承担本工程质量保修责任。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质量保修范围</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具体质量保修内容双方约定如下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所有施工项目按规定保修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二、质量保修期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双方根据《建设工程质量管理条例》及有关规定，约定本工程的质量保修期如下</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1、基础设施工程、房屋建筑的地基基础工程和主体工程质保期：以设计合理使用年限为准；</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2、屋面防水工程、有防水要求的卫生间、房间和外墙面的防渗漏为五年；</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3、装修工程为贰年；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4、电气管线、给排水管道、设备安装为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bCs/>
          <w:color w:val="auto"/>
          <w:sz w:val="24"/>
          <w:szCs w:val="24"/>
          <w:highlight w:val="none"/>
          <w:u w:val="single"/>
        </w:rPr>
        <w:t xml:space="preserve">贰个</w:t>
      </w:r>
      <w:r>
        <w:rPr>
          <w:rFonts w:hint="eastAsia" w:ascii="仿宋" w:hAnsi="仿宋" w:eastAsia="仿宋" w:cs="仿宋"/>
          <w:color w:val="auto"/>
          <w:sz w:val="24"/>
          <w:szCs w:val="24"/>
          <w:highlight w:val="none"/>
        </w:rPr>
        <w:t xml:space="preserve">采暖期、供冷期；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6、道路、水泥地坪等为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7、绿化、苗木等免费养护期为</w:t>
      </w:r>
      <w:r>
        <w:rPr>
          <w:rFonts w:hint="eastAsia" w:ascii="仿宋" w:hAnsi="仿宋" w:eastAsia="仿宋" w:cs="仿宋"/>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8、其他项目保修期限约定如下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宋体" w:hAnsi="宋体" w:cs="宋体"/>
          <w:b/>
          <w:bCs/>
          <w:color w:val="000000"/>
          <w:sz w:val="24"/>
          <w:highlight w:val="yellow"/>
          <w:u w:val="single"/>
        </w:rPr>
        <w:t xml:space="preserve">本工程保修期</w:t>
      </w:r>
      <w:r>
        <w:rPr>
          <w:rFonts w:hint="eastAsia" w:ascii="宋体" w:hAnsi="宋体" w:cs="宋体"/>
          <w:b/>
          <w:bCs/>
          <w:color w:val="000000"/>
          <w:sz w:val="24"/>
          <w:highlight w:val="yellow"/>
          <w:u w:val="single"/>
          <w:lang w:val="en-US" w:eastAsia="zh-CN"/>
        </w:rPr>
        <w:t xml:space="preserve">2</w:t>
      </w:r>
      <w:r>
        <w:rPr>
          <w:rFonts w:hint="eastAsia" w:ascii="宋体" w:hAnsi="宋体" w:cs="宋体"/>
          <w:b/>
          <w:bCs/>
          <w:color w:val="000000"/>
          <w:sz w:val="24"/>
          <w:highlight w:val="yellow"/>
          <w:u w:val="single"/>
        </w:rPr>
        <w:t xml:space="preserve">年</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质量保修期自工程竣工验收合格之日起计算。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lang w:val="en-US" w:eastAsia="zh-CN"/>
        </w:rPr>
        <w:t xml:space="preserve"> 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四</w:t>
      </w:r>
      <w:r>
        <w:rPr>
          <w:rFonts w:hint="eastAsia" w:ascii="仿宋" w:hAnsi="仿宋" w:eastAsia="仿宋" w:cs="仿宋"/>
          <w:color w:val="auto"/>
          <w:sz w:val="24"/>
          <w:szCs w:val="24"/>
          <w:highlight w:val="none"/>
        </w:rPr>
        <w:t xml:space="preserve">、质量保修责任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1、属于保修范围和内容的项目，承包人应在接到修理通知之</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内派人进行修理。承包人不在约定期限内，派人修理，发包人可委托其他人员修理，产生的费用从质量保修金中扣除。</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2、发生紧急抢修事故的，承包人在接到事故通知后，应立即到达事故现场抢修。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3、对于涉及结构安全的质量问题，应当按照《房屋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质量保修办法》的规定，立即向当地建设行政主管部门报告，采取安全防范措施；由原设计单位或者具有相应资质等级的设计单位提出保修方案，承包人实施保修。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4、质量保修完成后，由发包人组织验收。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、保修费用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保修费用由造成质量缺陷的责任方承担。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、其他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工程质量保修书作为施工合同附件，由施工合同发包人、承包人双方在竣工验收前共同签署，作为施工合同附件，其有效期限至保修期满。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附件2：</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在建设过程中，为加强建设工程廉政建设，规范建设工程各项活动中发包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，相关政策，以及廉政建设的各项规定。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除法律法规另有规定者外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，不得为获取不正当的利益，损害国家、集体和对方利益，不得违反建设工程管理的规章制度。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给予处理；涉嫌犯罪的，移交司法机关追究刑事责任；给承包人单位造成经济损失的，应予以赔偿。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本责任书一式四份，发包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承包人各执二份，具有同等效力。</w:t>
      </w:r>
      <w:r/>
    </w:p>
    <w:p>
      <w:pPr>
        <w:pStyle w:val="712"/>
        <w:ind w:left="0" w:firstLine="3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12"/>
        <w:ind w:left="0" w:righ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72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建设工程承发包安全管理协议</w:t>
      </w:r>
      <w:r/>
    </w:p>
    <w:p>
      <w:pPr>
        <w:ind w:firstLine="2168"/>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ind w:firstLine="482"/>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（简称甲方）</w:t>
      </w:r>
      <w:r/>
    </w:p>
    <w:p>
      <w:pPr>
        <w:ind w:firstLine="482"/>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（简称乙方）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一、承包施工项目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工程地址：</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二、工程项目施工期限</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按照甲乙双方合同协议书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三、协议内容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3、乙方在施工前要认真</w:t>
      </w:r>
      <w:r>
        <w:rPr>
          <w:rFonts w:hint="eastAsia" w:ascii="仿宋" w:hAnsi="仿宋" w:eastAsia="仿宋" w:cs="仿宋"/>
          <w:color w:val="auto"/>
          <w:sz w:val="24"/>
          <w:szCs w:val="24"/>
          <w:highlight w:val="none"/>
          <w:lang w:eastAsia="zh-CN"/>
        </w:rPr>
        <w:t xml:space="preserve">勘查现场</w:t>
      </w:r>
      <w:r>
        <w:rPr>
          <w:rFonts w:hint="eastAsia" w:ascii="仿宋" w:hAnsi="仿宋" w:eastAsia="仿宋" w:cs="仿宋"/>
          <w:color w:val="auto"/>
          <w:sz w:val="24"/>
          <w:szCs w:val="24"/>
          <w:highlight w:val="none"/>
        </w:rPr>
        <w:t xml:space="preserve">，进场后首先必须做好施工现场围护，防止闲杂人员进入施工现场，发生安全事故。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5、甲乙双方的有关领导必须认真对本单位职工进行安全生产制度及安全技术知识教育，增强</w:t>
      </w:r>
      <w:r>
        <w:rPr>
          <w:rFonts w:hint="eastAsia" w:ascii="仿宋" w:hAnsi="仿宋" w:eastAsia="仿宋" w:cs="仿宋"/>
          <w:color w:val="auto"/>
          <w:sz w:val="24"/>
          <w:szCs w:val="24"/>
          <w:highlight w:val="none"/>
          <w:lang w:eastAsia="zh-CN"/>
        </w:rPr>
        <w:t xml:space="preserve">法治观念</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增强</w:t>
      </w:r>
      <w:r>
        <w:rPr>
          <w:rFonts w:hint="eastAsia" w:ascii="仿宋" w:hAnsi="仿宋" w:eastAsia="仿宋" w:cs="仿宋"/>
          <w:color w:val="auto"/>
          <w:sz w:val="24"/>
          <w:szCs w:val="24"/>
          <w:highlight w:val="none"/>
        </w:rPr>
        <w:t xml:space="preserve">职工的安全生产思想意识和自我保护的能力，督促职工自觉遵守安全生产纪律、制度和法规。</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8、交底材料一式三份，由甲乙双方和监理各执一份。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11、在生产操作过程中的个人防护用品，由各方自理，甲乙双方都应督促施工现场人员自觉穿戴好防护用品。</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17、乙方需用甲方提供的电气设备，在使用前应先进行检测，并做好检测记录，如不符合安全规定的应及时整改，整改合格后</w:t>
      </w:r>
      <w:r>
        <w:rPr>
          <w:rFonts w:hint="eastAsia" w:ascii="仿宋" w:hAnsi="仿宋" w:eastAsia="仿宋" w:cs="仿宋"/>
          <w:color w:val="auto"/>
          <w:sz w:val="24"/>
          <w:szCs w:val="24"/>
          <w:highlight w:val="none"/>
          <w:lang w:eastAsia="zh-CN"/>
        </w:rPr>
        <w:t xml:space="preserve">方可</w:t>
      </w:r>
      <w:r>
        <w:rPr>
          <w:rFonts w:hint="eastAsia" w:ascii="仿宋" w:hAnsi="仿宋" w:eastAsia="仿宋" w:cs="仿宋"/>
          <w:color w:val="auto"/>
          <w:sz w:val="24"/>
          <w:szCs w:val="24"/>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20．本协议经立协双方签字、盖章有效。作为合同正本的附件一式四份，甲、乙双方各执二份。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21．本协议同工程合同正本同日生效，甲、乙双方必须严格执行，由于违反本协议而造成伤亡事故，由违约方承担一切责任。</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甲方（盖章）：                       乙方（盖章）：</w:t>
      </w:r>
      <w:r/>
    </w:p>
    <w:p>
      <w:pPr>
        <w:ind w:firstLine="468"/>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705"/>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10"/>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12"/>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请按照以下文件的格式要求、内容、顺序制作响应文件，并请编制目录及页码，否则可能将影响对响应文件的评价。</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12"/>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89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897"/>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89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、我们接受招标文件的所有的条款和规定。</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89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10"/>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2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70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2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2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72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r>
      <w:r/>
    </w:p>
    <w:p>
      <w:pPr>
        <w:pStyle w:val="710"/>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三</w:t>
      </w:r>
      <w:r>
        <w:rPr>
          <w:rFonts w:hint="eastAsia" w:ascii="仿宋" w:hAnsi="仿宋" w:eastAsia="仿宋" w:cs="仿宋"/>
          <w:b/>
          <w:color w:val="auto"/>
          <w:sz w:val="30"/>
          <w:szCs w:val="30"/>
          <w:highlight w:val="none"/>
        </w:rPr>
        <w:t xml:space="preserve">、供应商必须提交的资格证明文件</w:t>
      </w:r>
      <w:r/>
    </w:p>
    <w:p>
      <w:pPr>
        <w:pStyle w:val="894"/>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五、供应商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1"/>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693"/>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879"/>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10"/>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888"/>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8" w:name="_Toc49352288"/>
      <w:r/>
      <w:bookmarkStart w:id="639" w:name="_Toc12956505"/>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8"/>
      <w:r/>
      <w:bookmarkEnd w:id="639"/>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0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03"/>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9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14"/>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3">
    <w:name w:val="Heading 3"/>
    <w:basedOn w:val="690"/>
    <w:next w:val="69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94">
    <w:name w:val="Heading 4"/>
    <w:basedOn w:val="690"/>
    <w:next w:val="690"/>
    <w:uiPriority w:val="0"/>
    <w:qFormat/>
    <w:pPr>
      <w:keepLines/>
      <w:keepNext/>
      <w:spacing w:before="280" w:after="290" w:line="372" w:lineRule="auto"/>
      <w:outlineLvl w:val="3"/>
    </w:pPr>
    <w:rPr>
      <w:rFonts w:ascii="Arial" w:hAnsi="Arial" w:eastAsia="黑体"/>
      <w:b/>
      <w:bCs/>
      <w:sz w:val="28"/>
      <w:szCs w:val="28"/>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next w:val="690"/>
    <w:uiPriority w:val="0"/>
    <w:qFormat/>
    <w:pPr>
      <w:ind w:firstLine="200"/>
    </w:pPr>
    <w:rPr>
      <w:sz w:val="20"/>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toa heading"/>
    <w:basedOn w:val="690"/>
    <w:next w:val="690"/>
    <w:uiPriority w:val="0"/>
    <w:qFormat/>
    <w:pPr>
      <w:spacing w:before="120" w:beforeAutospacing="0"/>
    </w:pPr>
    <w:rPr>
      <w:rFonts w:ascii="Arial" w:hAnsi="Arial"/>
      <w:sz w:val="24"/>
    </w:rPr>
  </w:style>
  <w:style w:type="paragraph" w:styleId="706">
    <w:name w:val="Body Text"/>
    <w:basedOn w:val="690"/>
    <w:next w:val="690"/>
    <w:uiPriority w:val="0"/>
    <w:qFormat/>
    <w:pPr>
      <w:jc w:val="center"/>
    </w:pPr>
    <w:rPr>
      <w:rFonts w:eastAsia="仿宋_GB2312"/>
      <w:sz w:val="28"/>
    </w:rPr>
  </w:style>
  <w:style w:type="paragraph" w:styleId="707">
    <w:name w:val="List Bullet 2"/>
    <w:basedOn w:val="690"/>
    <w:uiPriority w:val="0"/>
    <w:qFormat/>
    <w:pPr>
      <w:numPr>
        <w:ilvl w:val="0"/>
        <w:numId w:val="1"/>
      </w:numPr>
    </w:p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pPr>
      <w:ind w:left="567" w:right="0" w:firstLine="0"/>
      <w:spacing w:after="57"/>
    </w:pPr>
  </w:style>
  <w:style w:type="paragraph" w:styleId="710">
    <w:name w:val="Plain Text"/>
    <w:basedOn w:val="690"/>
    <w:uiPriority w:val="0"/>
    <w:qFormat/>
    <w:rPr>
      <w:rFonts w:ascii="宋体"/>
      <w:szCs w:val="20"/>
    </w:rPr>
  </w:style>
  <w:style w:type="paragraph" w:styleId="711">
    <w:name w:val="toc 8"/>
    <w:basedOn w:val="690"/>
    <w:next w:val="690"/>
    <w:uiPriority w:val="39"/>
    <w:unhideWhenUsed/>
    <w:pPr>
      <w:ind w:left="1984" w:right="0" w:firstLine="0"/>
      <w:spacing w:after="57"/>
    </w:pPr>
  </w:style>
  <w:style w:type="paragraph" w:styleId="712">
    <w:name w:val="Body Text Indent 2"/>
    <w:basedOn w:val="690"/>
    <w:uiPriority w:val="0"/>
    <w:qFormat/>
    <w:pPr>
      <w:ind w:right="-1" w:firstLine="540"/>
      <w:tabs>
        <w:tab w:val="left" w:pos="9741" w:leader="none"/>
      </w:tabs>
    </w:pPr>
    <w:rPr>
      <w:rFonts w:eastAsia="仿宋_GB2312"/>
      <w:sz w:val="28"/>
    </w:rPr>
  </w:style>
  <w:style w:type="paragraph" w:styleId="713">
    <w:name w:val="endnote text"/>
    <w:basedOn w:val="690"/>
    <w:link w:val="876"/>
    <w:uiPriority w:val="99"/>
    <w:semiHidden/>
    <w:unhideWhenUsed/>
    <w:pPr>
      <w:spacing w:after="0" w:line="240" w:lineRule="auto"/>
    </w:pPr>
    <w:rPr>
      <w:sz w:val="20"/>
    </w:rPr>
  </w:style>
  <w:style w:type="paragraph" w:styleId="714">
    <w:name w:val="Footer"/>
    <w:basedOn w:val="690"/>
    <w:uiPriority w:val="0"/>
    <w:qFormat/>
    <w:pPr>
      <w:jc w:val="left"/>
      <w:tabs>
        <w:tab w:val="center" w:pos="4153" w:leader="none"/>
        <w:tab w:val="right" w:pos="8306" w:leader="none"/>
      </w:tabs>
    </w:pPr>
    <w:rPr>
      <w:rFonts w:ascii="Verdana" w:hAnsi="Verdana"/>
      <w:sz w:val="18"/>
      <w:szCs w:val="18"/>
    </w:rPr>
  </w:style>
  <w:style w:type="paragraph" w:styleId="715">
    <w:name w:val="Header"/>
    <w:basedOn w:val="6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6">
    <w:name w:val="toc 1"/>
    <w:basedOn w:val="690"/>
    <w:next w:val="690"/>
    <w:uiPriority w:val="39"/>
    <w:unhideWhenUsed/>
    <w:qFormat/>
    <w:pPr>
      <w:ind w:left="0" w:right="0" w:firstLine="0"/>
      <w:spacing w:after="57"/>
    </w:pPr>
  </w:style>
  <w:style w:type="paragraph" w:styleId="717">
    <w:name w:val="toc 4"/>
    <w:basedOn w:val="690"/>
    <w:next w:val="690"/>
    <w:uiPriority w:val="39"/>
    <w:unhideWhenUsed/>
    <w:qFormat/>
    <w:pPr>
      <w:ind w:left="850" w:right="0" w:firstLine="0"/>
      <w:spacing w:after="57"/>
    </w:pPr>
  </w:style>
  <w:style w:type="paragraph" w:styleId="718">
    <w:name w:val="Subtitle"/>
    <w:basedOn w:val="690"/>
    <w:next w:val="690"/>
    <w:link w:val="742"/>
    <w:uiPriority w:val="11"/>
    <w:qFormat/>
    <w:pPr>
      <w:spacing w:before="200" w:after="200"/>
    </w:pPr>
    <w:rPr>
      <w:sz w:val="24"/>
      <w:szCs w:val="24"/>
    </w:rPr>
  </w:style>
  <w:style w:type="paragraph" w:styleId="719">
    <w:name w:val="footnote text"/>
    <w:basedOn w:val="690"/>
    <w:link w:val="875"/>
    <w:uiPriority w:val="99"/>
    <w:semiHidden/>
    <w:unhideWhenUsed/>
    <w:pPr>
      <w:spacing w:after="40" w:line="240" w:lineRule="auto"/>
    </w:pPr>
    <w:rPr>
      <w:sz w:val="18"/>
    </w:rPr>
  </w:style>
  <w:style w:type="paragraph" w:styleId="720">
    <w:name w:val="toc 6"/>
    <w:basedOn w:val="690"/>
    <w:next w:val="690"/>
    <w:uiPriority w:val="0"/>
    <w:qFormat/>
    <w:pPr>
      <w:ind w:left="1050"/>
      <w:jc w:val="left"/>
    </w:pPr>
    <w:rPr>
      <w:sz w:val="18"/>
      <w:szCs w:val="18"/>
    </w:rPr>
  </w:style>
  <w:style w:type="paragraph" w:styleId="721">
    <w:name w:val="table of figures"/>
    <w:basedOn w:val="690"/>
    <w:next w:val="690"/>
    <w:uiPriority w:val="99"/>
    <w:unhideWhenUsed/>
    <w:pPr>
      <w:spacing w:after="0" w:afterAutospacing="0"/>
    </w:pPr>
  </w:style>
  <w:style w:type="paragraph" w:styleId="722">
    <w:name w:val="toc 2"/>
    <w:basedOn w:val="690"/>
    <w:next w:val="690"/>
    <w:uiPriority w:val="0"/>
    <w:unhideWhenUsed/>
    <w:qFormat/>
    <w:pPr>
      <w:ind w:left="283"/>
      <w:spacing w:after="57"/>
    </w:pPr>
  </w:style>
  <w:style w:type="paragraph" w:styleId="723">
    <w:name w:val="toc 9"/>
    <w:basedOn w:val="690"/>
    <w:next w:val="690"/>
    <w:uiPriority w:val="39"/>
    <w:unhideWhenUsed/>
    <w:pPr>
      <w:ind w:left="2268" w:right="0" w:firstLine="0"/>
      <w:spacing w:after="57"/>
    </w:pPr>
  </w:style>
  <w:style w:type="paragraph" w:styleId="724">
    <w:name w:val="Normal (Web)"/>
    <w:basedOn w:val="690"/>
    <w:uiPriority w:val="0"/>
    <w:qFormat/>
    <w:pPr>
      <w:ind w:left="0" w:right="0"/>
      <w:jc w:val="left"/>
      <w:spacing w:before="0" w:beforeAutospacing="1" w:after="0" w:afterAutospacing="1"/>
    </w:pPr>
    <w:rPr>
      <w:sz w:val="24"/>
      <w:lang w:val="en-US" w:eastAsia="zh-CN" w:bidi="ar"/>
    </w:rPr>
  </w:style>
  <w:style w:type="paragraph" w:styleId="725">
    <w:name w:val="Title"/>
    <w:basedOn w:val="690"/>
    <w:next w:val="690"/>
    <w:link w:val="741"/>
    <w:uiPriority w:val="10"/>
    <w:qFormat/>
    <w:pPr>
      <w:contextualSpacing/>
      <w:spacing w:before="300" w:after="200"/>
    </w:pPr>
    <w:rPr>
      <w:sz w:val="48"/>
      <w:szCs w:val="48"/>
    </w:rPr>
  </w:style>
  <w:style w:type="table" w:styleId="7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700"/>
    <w:uiPriority w:val="0"/>
    <w:qFormat/>
    <w:rPr>
      <w:b/>
    </w:rPr>
  </w:style>
  <w:style w:type="character" w:styleId="728">
    <w:name w:val="endnote reference"/>
    <w:basedOn w:val="700"/>
    <w:uiPriority w:val="99"/>
    <w:semiHidden/>
    <w:unhideWhenUsed/>
    <w:rPr>
      <w:vertAlign w:val="superscript"/>
    </w:rPr>
  </w:style>
  <w:style w:type="character" w:styleId="729">
    <w:name w:val="Hyperlink"/>
    <w:uiPriority w:val="99"/>
    <w:unhideWhenUsed/>
    <w:rPr>
      <w:color w:val="0026e5" w:themeColor="hyperlink"/>
      <w:u w:val="single"/>
      <w14:textFill>
        <w14:solidFill>
          <w14:schemeClr w14:val="hlink"/>
        </w14:solidFill>
      </w14:textFill>
    </w:rPr>
  </w:style>
  <w:style w:type="character" w:styleId="730">
    <w:name w:val="footnote reference"/>
    <w:basedOn w:val="700"/>
    <w:uiPriority w:val="99"/>
    <w:unhideWhenUsed/>
    <w:rPr>
      <w:vertAlign w:val="superscript"/>
    </w:rPr>
  </w:style>
  <w:style w:type="character" w:styleId="731" w:customStyle="1">
    <w:name w:val="Heading 1 Char"/>
    <w:basedOn w:val="700"/>
    <w:link w:val="691"/>
    <w:uiPriority w:val="9"/>
    <w:qFormat/>
    <w:rPr>
      <w:rFonts w:ascii="Arial" w:hAnsi="Arial" w:eastAsia="Arial" w:cs="Arial"/>
      <w:sz w:val="40"/>
      <w:szCs w:val="40"/>
    </w:rPr>
  </w:style>
  <w:style w:type="character" w:styleId="732" w:customStyle="1">
    <w:name w:val="Heading 2 Char"/>
    <w:basedOn w:val="700"/>
    <w:uiPriority w:val="9"/>
    <w:rPr>
      <w:rFonts w:ascii="Arial" w:hAnsi="Arial" w:eastAsia="Arial" w:cs="Arial"/>
      <w:sz w:val="34"/>
    </w:rPr>
  </w:style>
  <w:style w:type="character" w:styleId="733" w:customStyle="1">
    <w:name w:val="Heading 3 Char"/>
    <w:basedOn w:val="700"/>
    <w:uiPriority w:val="9"/>
    <w:qFormat/>
    <w:rPr>
      <w:rFonts w:ascii="Arial" w:hAnsi="Arial" w:eastAsia="Arial" w:cs="Arial"/>
      <w:sz w:val="30"/>
      <w:szCs w:val="30"/>
    </w:rPr>
  </w:style>
  <w:style w:type="character" w:styleId="734" w:customStyle="1">
    <w:name w:val="Heading 4 Char"/>
    <w:basedOn w:val="700"/>
    <w:uiPriority w:val="9"/>
    <w:qFormat/>
    <w:rPr>
      <w:rFonts w:ascii="Arial" w:hAnsi="Arial" w:eastAsia="Arial" w:cs="Arial"/>
      <w:b/>
      <w:bCs/>
      <w:sz w:val="26"/>
      <w:szCs w:val="26"/>
    </w:rPr>
  </w:style>
  <w:style w:type="character" w:styleId="735" w:customStyle="1">
    <w:name w:val="Heading 5 Char"/>
    <w:basedOn w:val="700"/>
    <w:link w:val="695"/>
    <w:uiPriority w:val="9"/>
    <w:qFormat/>
    <w:rPr>
      <w:rFonts w:ascii="Arial" w:hAnsi="Arial" w:eastAsia="Arial" w:cs="Arial"/>
      <w:b/>
      <w:bCs/>
      <w:sz w:val="24"/>
      <w:szCs w:val="24"/>
    </w:rPr>
  </w:style>
  <w:style w:type="character" w:styleId="736" w:customStyle="1">
    <w:name w:val="Heading 6 Char"/>
    <w:basedOn w:val="700"/>
    <w:link w:val="696"/>
    <w:uiPriority w:val="9"/>
    <w:rPr>
      <w:rFonts w:ascii="Arial" w:hAnsi="Arial" w:eastAsia="Arial" w:cs="Arial"/>
      <w:b/>
      <w:bCs/>
      <w:sz w:val="22"/>
      <w:szCs w:val="22"/>
    </w:rPr>
  </w:style>
  <w:style w:type="character" w:styleId="737" w:customStyle="1">
    <w:name w:val="Heading 7 Char"/>
    <w:basedOn w:val="700"/>
    <w:link w:val="697"/>
    <w:uiPriority w:val="9"/>
    <w:rPr>
      <w:rFonts w:ascii="Arial" w:hAnsi="Arial" w:eastAsia="Arial" w:cs="Arial"/>
      <w:b/>
      <w:bCs/>
      <w:i/>
      <w:iCs/>
      <w:sz w:val="22"/>
      <w:szCs w:val="22"/>
    </w:rPr>
  </w:style>
  <w:style w:type="character" w:styleId="738" w:customStyle="1">
    <w:name w:val="Heading 8 Char"/>
    <w:basedOn w:val="700"/>
    <w:link w:val="698"/>
    <w:uiPriority w:val="9"/>
    <w:rPr>
      <w:rFonts w:ascii="Arial" w:hAnsi="Arial" w:eastAsia="Arial" w:cs="Arial"/>
      <w:i/>
      <w:iCs/>
      <w:sz w:val="22"/>
      <w:szCs w:val="22"/>
    </w:rPr>
  </w:style>
  <w:style w:type="character" w:styleId="739" w:customStyle="1">
    <w:name w:val="Heading 9 Char"/>
    <w:basedOn w:val="700"/>
    <w:link w:val="699"/>
    <w:uiPriority w:val="9"/>
    <w:rPr>
      <w:rFonts w:ascii="Arial" w:hAnsi="Arial" w:eastAsia="Arial" w:cs="Arial"/>
      <w:i/>
      <w:iCs/>
      <w:sz w:val="21"/>
      <w:szCs w:val="21"/>
    </w:r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700"/>
    <w:link w:val="725"/>
    <w:uiPriority w:val="10"/>
    <w:rPr>
      <w:sz w:val="48"/>
      <w:szCs w:val="48"/>
    </w:rPr>
  </w:style>
  <w:style w:type="character" w:styleId="742" w:customStyle="1">
    <w:name w:val="Subtitle Char"/>
    <w:basedOn w:val="700"/>
    <w:link w:val="718"/>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rPr>
      <w:i/>
    </w:rPr>
  </w:style>
  <w:style w:type="character" w:styleId="747" w:customStyle="1">
    <w:name w:val="Header Char"/>
    <w:basedOn w:val="700"/>
    <w:uiPriority w:val="99"/>
  </w:style>
  <w:style w:type="character" w:styleId="748" w:customStyle="1">
    <w:name w:val="Footer Char"/>
    <w:basedOn w:val="700"/>
    <w:uiPriority w:val="99"/>
  </w:style>
  <w:style w:type="character" w:styleId="749" w:customStyle="1">
    <w:name w:val="Caption Char"/>
    <w:uiPriority w:val="99"/>
  </w:style>
  <w:style w:type="table" w:styleId="750" w:customStyle="1">
    <w:name w:val="Table Grid Light"/>
    <w:basedOn w:val="70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70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0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01"/>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0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0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01"/>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01"/>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0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01"/>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701"/>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701"/>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701"/>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70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701"/>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70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701"/>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701"/>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701"/>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701"/>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01"/>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01"/>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01"/>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01"/>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70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01"/>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01"/>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01"/>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70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701"/>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701"/>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701"/>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701"/>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701"/>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701"/>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01"/>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01"/>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01"/>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01"/>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701"/>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701"/>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701"/>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701"/>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701"/>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70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701"/>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701"/>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701"/>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701"/>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701"/>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701"/>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701"/>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70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701"/>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701"/>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701"/>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701"/>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70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01"/>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01"/>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01"/>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01"/>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01"/>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01"/>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70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701"/>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701"/>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701"/>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701"/>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701"/>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701"/>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70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Footnote Text Char"/>
    <w:link w:val="719"/>
    <w:uiPriority w:val="99"/>
    <w:rPr>
      <w:sz w:val="18"/>
    </w:rPr>
  </w:style>
  <w:style w:type="character" w:styleId="876" w:customStyle="1">
    <w:name w:val="Endnote Text Char"/>
    <w:link w:val="713"/>
    <w:uiPriority w:val="99"/>
    <w:rPr>
      <w:sz w:val="20"/>
    </w:rPr>
  </w:style>
  <w:style w:type="paragraph" w:styleId="877" w:customStyle="1">
    <w:name w:val="TOC Heading"/>
    <w:uiPriority w:val="39"/>
    <w:unhideWhenUsed/>
    <w:rPr>
      <w:rFonts w:hint="default" w:ascii="Times New Roman" w:hAnsi="Times New Roman" w:eastAsia="宋体" w:cs="Times New Roman"/>
    </w:rPr>
  </w:style>
  <w:style w:type="paragraph" w:styleId="878" w:customStyle="1">
    <w:name w:val="信息标题1"/>
    <w:basedOn w:val="690"/>
    <w:next w:val="69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9" w:customStyle="1">
    <w:name w:val="段"/>
    <w:basedOn w:val="880"/>
    <w:next w:val="690"/>
    <w:uiPriority w:val="0"/>
    <w:qFormat/>
    <w:pPr>
      <w:ind w:firstLine="200"/>
      <w:jc w:val="both"/>
    </w:pPr>
    <w:rPr>
      <w:rFonts w:hint="default" w:ascii="宋体" w:hAnsi="Times New Roman" w:eastAsia="宋体" w:cs="Times New Roman"/>
      <w:sz w:val="21"/>
      <w:szCs w:val="22"/>
    </w:rPr>
  </w:style>
  <w:style w:type="paragraph" w:styleId="880" w:customStyle="1">
    <w:name w:val="正文13"/>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1"/>
    <w:basedOn w:val="882"/>
    <w:next w:val="885"/>
    <w:uiPriority w:val="0"/>
    <w:qFormat/>
    <w:pPr>
      <w:ind w:firstLine="420"/>
      <w:spacing w:after="120"/>
      <w:tabs>
        <w:tab w:val="left" w:pos="2020" w:leader="none"/>
        <w:tab w:val="center" w:pos="4535" w:leader="none"/>
      </w:tabs>
    </w:pPr>
    <w:rPr>
      <w:sz w:val="21"/>
    </w:rPr>
  </w:style>
  <w:style w:type="paragraph" w:styleId="882" w:customStyle="1">
    <w:name w:val="正文文本1"/>
    <w:basedOn w:val="690"/>
    <w:next w:val="883"/>
    <w:uiPriority w:val="0"/>
    <w:qFormat/>
    <w:pPr>
      <w:jc w:val="center"/>
    </w:pPr>
    <w:rPr>
      <w:rFonts w:eastAsia="仿宋_GB2312"/>
      <w:sz w:val="28"/>
    </w:rPr>
  </w:style>
  <w:style w:type="paragraph" w:styleId="883" w:customStyle="1">
    <w:name w:val="一级条标题"/>
    <w:basedOn w:val="884"/>
    <w:next w:val="87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690"/>
    <w:next w:val="690"/>
    <w:uiPriority w:val="99"/>
    <w:qFormat/>
    <w:pPr>
      <w:jc w:val="center"/>
      <w:spacing w:before="158" w:after="153" w:line="1292" w:lineRule="atLeast"/>
      <w:widowControl/>
    </w:pPr>
    <w:rPr>
      <w:rFonts w:ascii="Arial" w:eastAsia="黑体" w:cs="黑体"/>
      <w:sz w:val="31"/>
      <w:szCs w:val="22"/>
      <w:lang w:eastAsia="en-US"/>
    </w:rPr>
  </w:style>
  <w:style w:type="paragraph" w:styleId="885" w:customStyle="1">
    <w:name w:val="正文首行缩进 211"/>
    <w:basedOn w:val="886"/>
    <w:uiPriority w:val="99"/>
    <w:qFormat/>
    <w:pPr>
      <w:ind w:firstLine="420"/>
    </w:pPr>
    <w:rPr>
      <w:sz w:val="24"/>
    </w:rPr>
  </w:style>
  <w:style w:type="paragraph" w:styleId="886" w:customStyle="1">
    <w:name w:val="正文文本缩进11"/>
    <w:basedOn w:val="887"/>
    <w:uiPriority w:val="99"/>
    <w:qFormat/>
    <w:pPr>
      <w:ind w:firstLine="538"/>
    </w:pPr>
    <w:rPr>
      <w:sz w:val="28"/>
    </w:rPr>
  </w:style>
  <w:style w:type="paragraph" w:styleId="887" w:customStyle="1">
    <w:name w:val="正文112"/>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89" w:customStyle="1">
    <w:name w:val="标题 21"/>
    <w:basedOn w:val="690"/>
    <w:next w:val="690"/>
    <w:uiPriority w:val="0"/>
    <w:qFormat/>
    <w:pPr>
      <w:keepLines/>
      <w:keepNext/>
      <w:spacing w:before="260" w:after="260" w:line="413" w:lineRule="auto"/>
      <w:outlineLvl w:val="1"/>
    </w:pPr>
    <w:rPr>
      <w:rFonts w:ascii="Arial" w:hAnsi="Arial" w:eastAsia="黑体"/>
      <w:b/>
      <w:sz w:val="32"/>
      <w:szCs w:val="20"/>
    </w:rPr>
  </w:style>
  <w:style w:type="paragraph" w:styleId="89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91" w:customStyle="1">
    <w:name w:val="Table Text"/>
    <w:basedOn w:val="690"/>
    <w:uiPriority w:val="0"/>
    <w:semiHidden/>
    <w:qFormat/>
    <w:rPr>
      <w:rFonts w:ascii="宋体" w:hAnsi="宋体" w:eastAsia="宋体" w:cs="宋体"/>
      <w:sz w:val="24"/>
      <w:szCs w:val="24"/>
      <w:lang w:val="en-US" w:eastAsia="en-US" w:bidi="ar-SA"/>
    </w:rPr>
  </w:style>
  <w:style w:type="table" w:styleId="892" w:customStyle="1">
    <w:name w:val="Table Normal"/>
    <w:uiPriority w:val="0"/>
    <w:unhideWhenUsed/>
    <w:qFormat/>
    <w:tblPr>
      <w:tblCellMar>
        <w:left w:w="0" w:type="dxa"/>
        <w:top w:w="0" w:type="dxa"/>
        <w:right w:w="0" w:type="dxa"/>
        <w:bottom w:w="0" w:type="dxa"/>
      </w:tblCellMar>
    </w:tblPr>
  </w:style>
  <w:style w:type="paragraph" w:styleId="893" w:customStyle="1">
    <w:name w:val="正文_0"/>
    <w:basedOn w:val="690"/>
    <w:uiPriority w:val="0"/>
    <w:qFormat/>
    <w:rPr>
      <w:rFonts w:ascii="Times New Roman" w:hAnsi="Times New Roman" w:eastAsia="宋体" w:cs="Times New Roman"/>
    </w:rPr>
  </w:style>
  <w:style w:type="paragraph" w:styleId="894" w:customStyle="1">
    <w:name w:val="正文1"/>
    <w:basedOn w:val="895"/>
    <w:next w:val="69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95" w:customStyle="1">
    <w:name w:val="样式1"/>
    <w:basedOn w:val="690"/>
    <w:uiPriority w:val="0"/>
    <w:qFormat/>
    <w:pPr>
      <w:ind w:left="432" w:firstLine="288"/>
      <w:tabs>
        <w:tab w:val="left" w:pos="1110" w:leader="none"/>
      </w:tabs>
    </w:pPr>
    <w:rPr>
      <w:rFonts w:ascii="宋体" w:hAnsi="宋体"/>
      <w:szCs w:val="21"/>
    </w:rPr>
  </w:style>
  <w:style w:type="paragraph" w:styleId="896" w:customStyle="1">
    <w:name w:val="List Paragraph"/>
    <w:basedOn w:val="690"/>
    <w:uiPriority w:val="0"/>
    <w:qFormat/>
    <w:pPr>
      <w:ind w:firstLine="200"/>
    </w:pPr>
    <w:rPr>
      <w:rFonts w:ascii="Calibri" w:hAnsi="Calibri"/>
      <w:szCs w:val="22"/>
    </w:rPr>
  </w:style>
  <w:style w:type="paragraph" w:styleId="897" w:customStyle="1">
    <w:name w:val="普通正文"/>
    <w:basedOn w:val="690"/>
    <w:uiPriority w:val="0"/>
    <w:qFormat/>
    <w:pPr>
      <w:ind w:firstLine="480"/>
      <w:jc w:val="left"/>
      <w:spacing w:before="120" w:after="120" w:line="360" w:lineRule="auto"/>
    </w:pPr>
    <w:rPr>
      <w:rFonts w:ascii="Arial" w:hAnsi="Arial"/>
      <w:sz w:val="24"/>
    </w:rPr>
  </w:style>
  <w:style w:type="paragraph" w:styleId="898" w:customStyle="1">
    <w:name w:val="批注文字1"/>
    <w:basedOn w:val="690"/>
    <w:uiPriority w:val="0"/>
    <w:qFormat/>
    <w:pPr>
      <w:jc w:val="left"/>
    </w:pPr>
  </w:style>
  <w:style w:type="paragraph" w:styleId="899" w:customStyle="1">
    <w:name w:val="正文首行缩进 21"/>
    <w:basedOn w:val="900"/>
    <w:uiPriority w:val="0"/>
    <w:qFormat/>
    <w:pPr>
      <w:ind w:firstLine="420"/>
    </w:pPr>
  </w:style>
  <w:style w:type="paragraph" w:styleId="900" w:customStyle="1">
    <w:name w:val="正文文本缩进1"/>
    <w:basedOn w:val="690"/>
    <w:uiPriority w:val="0"/>
    <w:qFormat/>
    <w:pPr>
      <w:ind w:left="420"/>
      <w:spacing w:after="120"/>
    </w:pPr>
  </w:style>
  <w:style w:type="character" w:styleId="901" w:customStyle="1">
    <w:name w:val="超链接1"/>
    <w:link w:val="690"/>
    <w:uiPriority w:val="0"/>
    <w:qFormat/>
    <w:rPr>
      <w:rFonts w:ascii="Times New Roman" w:hAnsi="Times New Roman" w:eastAsia="宋体" w:cs="Times New Roman"/>
      <w:sz w:val="21"/>
      <w:szCs w:val="24"/>
      <w:lang w:val="en-US" w:eastAsia="zh-CN" w:bidi="ar-SA"/>
    </w:rPr>
  </w:style>
  <w:style w:type="table" w:styleId="902" w:customStyle="1">
    <w:name w:val="网格型1"/>
    <w:basedOn w:val="90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03" w:customStyle="1">
    <w:name w:val="普通表格1"/>
    <w:uiPriority w:val="0"/>
    <w:semiHidden/>
    <w:qFormat/>
    <w:tblPr/>
  </w:style>
  <w:style w:type="character" w:styleId="904" w:customStyle="1">
    <w:name w:val="font21"/>
    <w:basedOn w:val="700"/>
    <w:uiPriority w:val="0"/>
    <w:qFormat/>
    <w:rPr>
      <w:rFonts w:hint="eastAsia" w:ascii="黑体" w:hAnsi="宋体" w:eastAsia="黑体" w:cs="黑体"/>
      <w:color w:val="000000"/>
      <w:sz w:val="21"/>
      <w:szCs w:val="21"/>
      <w:u w:val="none"/>
    </w:rPr>
  </w:style>
  <w:style w:type="character" w:styleId="905" w:customStyle="1">
    <w:name w:val="font71"/>
    <w:basedOn w:val="700"/>
    <w:uiPriority w:val="0"/>
    <w:qFormat/>
    <w:rPr>
      <w:rFonts w:hint="eastAsia" w:ascii="宋体" w:hAnsi="宋体" w:eastAsia="宋体" w:cs="宋体"/>
      <w:color w:val="000000"/>
      <w:sz w:val="21"/>
      <w:szCs w:val="21"/>
      <w:u w:val="none"/>
    </w:rPr>
  </w:style>
  <w:style w:type="character" w:styleId="906" w:customStyle="1">
    <w:name w:val="font81"/>
    <w:basedOn w:val="700"/>
    <w:uiPriority w:val="0"/>
    <w:qFormat/>
    <w:rPr>
      <w:rFonts w:hint="eastAsia" w:ascii="黑体" w:hAnsi="宋体" w:eastAsia="黑体" w:cs="黑体"/>
      <w:color w:val="ff6600"/>
      <w:sz w:val="21"/>
      <w:szCs w:val="21"/>
      <w:u w:val="none"/>
    </w:rPr>
  </w:style>
  <w:style w:type="character" w:styleId="907" w:customStyle="1">
    <w:name w:val="font01"/>
    <w:basedOn w:val="700"/>
    <w:uiPriority w:val="0"/>
    <w:qFormat/>
    <w:rPr>
      <w:rFonts w:hint="default" w:ascii="Arial" w:hAnsi="Arial" w:cs="Arial"/>
      <w:color w:val="000000"/>
      <w:sz w:val="20"/>
      <w:szCs w:val="20"/>
      <w:u w:val="none"/>
    </w:rPr>
  </w:style>
  <w:style w:type="character" w:styleId="908" w:customStyle="1">
    <w:name w:val="font51"/>
    <w:basedOn w:val="700"/>
    <w:uiPriority w:val="0"/>
    <w:qFormat/>
    <w:rPr>
      <w:rFonts w:hint="eastAsia" w:ascii="宋体" w:hAnsi="宋体" w:eastAsia="宋体" w:cs="宋体"/>
      <w:color w:val="000000"/>
      <w:sz w:val="22"/>
      <w:szCs w:val="22"/>
      <w:u w:val="none"/>
    </w:rPr>
  </w:style>
  <w:style w:type="numbering" w:styleId="10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武蕾</cp:lastModifiedBy>
  <cp:revision>4</cp:revision>
  <dcterms:created xsi:type="dcterms:W3CDTF">2024-03-14T00:27:00Z</dcterms:created>
  <dcterms:modified xsi:type="dcterms:W3CDTF">2025-11-18T07:45:36Z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5E8E76D13AF9477E9A8F81403227889D_13</vt:lpwstr>
  </property>
  <property fmtid="{D5CDD505-2E9C-101B-9397-08002B2CF9AE}" pid="4" name="KSOTemplateDocerSaveRecord">
    <vt:lpwstr>eyJoZGlkIjoiMzgzNjVlOGE0OWVlMTFkYzYxODI0NjRhMDM5ODVkZjQiLCJ1c2VySWQiOiIzOTY5OTg2OTUifQ==</vt:lpwstr>
  </property>
</Properties>
</file>